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68248" w14:textId="00110CAE" w:rsidR="008865F4" w:rsidRPr="00562A42" w:rsidRDefault="0072109C" w:rsidP="00A06FCF">
      <w:pPr>
        <w:spacing w:after="0"/>
        <w:rPr>
          <w:rFonts w:ascii="Garamond" w:hAnsi="Garamond"/>
          <w:b/>
          <w:sz w:val="28"/>
          <w:szCs w:val="28"/>
        </w:rPr>
      </w:pPr>
      <w:r w:rsidRPr="00562A42">
        <w:rPr>
          <w:rFonts w:ascii="Garamond" w:hAnsi="Garamond"/>
          <w:b/>
          <w:sz w:val="28"/>
          <w:szCs w:val="28"/>
        </w:rPr>
        <w:t>“Competiti</w:t>
      </w:r>
      <w:r w:rsidR="0058288B" w:rsidRPr="00562A42">
        <w:rPr>
          <w:rFonts w:ascii="Garamond" w:hAnsi="Garamond"/>
          <w:b/>
          <w:sz w:val="28"/>
          <w:szCs w:val="28"/>
        </w:rPr>
        <w:t xml:space="preserve">on Policy in Higher Education” </w:t>
      </w:r>
      <w:r w:rsidRPr="00562A42">
        <w:rPr>
          <w:rFonts w:ascii="Garamond" w:hAnsi="Garamond"/>
          <w:b/>
          <w:sz w:val="28"/>
          <w:szCs w:val="28"/>
        </w:rPr>
        <w:t xml:space="preserve">by Paul Oslington in </w:t>
      </w:r>
      <w:r w:rsidRPr="00562A42">
        <w:rPr>
          <w:rFonts w:ascii="Garamond" w:hAnsi="Garamond"/>
          <w:b/>
          <w:i/>
          <w:sz w:val="28"/>
          <w:szCs w:val="28"/>
        </w:rPr>
        <w:t>The Australian University in Crisis</w:t>
      </w:r>
      <w:r w:rsidR="00F36982" w:rsidRPr="00562A42">
        <w:rPr>
          <w:rFonts w:ascii="Garamond" w:hAnsi="Garamond"/>
          <w:b/>
          <w:i/>
          <w:sz w:val="28"/>
          <w:szCs w:val="28"/>
        </w:rPr>
        <w:t xml:space="preserve"> </w:t>
      </w:r>
      <w:r w:rsidRPr="00562A42">
        <w:rPr>
          <w:rFonts w:ascii="Garamond" w:hAnsi="Garamond"/>
          <w:b/>
          <w:sz w:val="28"/>
          <w:szCs w:val="28"/>
        </w:rPr>
        <w:t>edited by William Coleman.</w:t>
      </w:r>
      <w:r w:rsidR="00F36982" w:rsidRPr="00562A42">
        <w:rPr>
          <w:rFonts w:ascii="Garamond" w:hAnsi="Garamond"/>
          <w:b/>
          <w:sz w:val="28"/>
          <w:szCs w:val="28"/>
        </w:rPr>
        <w:t xml:space="preserve"> </w:t>
      </w:r>
      <w:r w:rsidRPr="00562A42">
        <w:rPr>
          <w:rFonts w:ascii="Garamond" w:hAnsi="Garamond"/>
          <w:b/>
          <w:sz w:val="28"/>
          <w:szCs w:val="28"/>
        </w:rPr>
        <w:t>Connor Court</w:t>
      </w:r>
      <w:r w:rsidR="0058288B" w:rsidRPr="00562A42">
        <w:rPr>
          <w:rFonts w:ascii="Garamond" w:hAnsi="Garamond"/>
          <w:b/>
          <w:sz w:val="28"/>
          <w:szCs w:val="28"/>
        </w:rPr>
        <w:t>. 2019</w:t>
      </w:r>
      <w:r w:rsidRPr="00562A42">
        <w:rPr>
          <w:rFonts w:ascii="Garamond" w:hAnsi="Garamond"/>
          <w:b/>
          <w:sz w:val="28"/>
          <w:szCs w:val="28"/>
        </w:rPr>
        <w:t>.</w:t>
      </w:r>
    </w:p>
    <w:p w14:paraId="5FE0BFB9" w14:textId="0AA59511" w:rsidR="00E4363B" w:rsidRPr="003942B4" w:rsidRDefault="00E4363B" w:rsidP="00E4363B">
      <w:pPr>
        <w:rPr>
          <w:rFonts w:ascii="Garamond" w:hAnsi="Garamond"/>
          <w:sz w:val="22"/>
        </w:rPr>
      </w:pPr>
      <w:r w:rsidRPr="003942B4">
        <w:rPr>
          <w:rFonts w:ascii="Garamond" w:hAnsi="Garamond"/>
          <w:sz w:val="22"/>
        </w:rPr>
        <w:t>Paul Oslington is Professor of Economics and Dean of Business at Alphacrucis College in Sydney.</w:t>
      </w:r>
      <w:r w:rsidR="00F36982" w:rsidRPr="003942B4">
        <w:rPr>
          <w:rFonts w:ascii="Garamond" w:hAnsi="Garamond"/>
          <w:sz w:val="22"/>
        </w:rPr>
        <w:t xml:space="preserve"> </w:t>
      </w:r>
      <w:r w:rsidRPr="003942B4">
        <w:rPr>
          <w:rFonts w:ascii="Garamond" w:hAnsi="Garamond"/>
          <w:sz w:val="22"/>
        </w:rPr>
        <w:t xml:space="preserve">He is also Vice-President </w:t>
      </w:r>
      <w:r w:rsidR="00891385" w:rsidRPr="003942B4">
        <w:rPr>
          <w:rFonts w:ascii="Garamond" w:hAnsi="Garamond"/>
          <w:sz w:val="22"/>
        </w:rPr>
        <w:t>(</w:t>
      </w:r>
      <w:r w:rsidRPr="003942B4">
        <w:rPr>
          <w:rFonts w:ascii="Garamond" w:hAnsi="Garamond"/>
          <w:sz w:val="22"/>
        </w:rPr>
        <w:t>NSW</w:t>
      </w:r>
      <w:r w:rsidR="00891385" w:rsidRPr="003942B4">
        <w:rPr>
          <w:rFonts w:ascii="Garamond" w:hAnsi="Garamond"/>
          <w:sz w:val="22"/>
        </w:rPr>
        <w:t xml:space="preserve"> Branch)</w:t>
      </w:r>
      <w:r w:rsidRPr="003942B4">
        <w:rPr>
          <w:rFonts w:ascii="Garamond" w:hAnsi="Garamond"/>
          <w:sz w:val="22"/>
        </w:rPr>
        <w:t xml:space="preserve"> Economic Society of Australia.</w:t>
      </w:r>
      <w:r w:rsidR="00F36982" w:rsidRPr="003942B4">
        <w:rPr>
          <w:rFonts w:ascii="Garamond" w:hAnsi="Garamond"/>
          <w:sz w:val="22"/>
        </w:rPr>
        <w:t xml:space="preserve"> </w:t>
      </w:r>
      <w:r w:rsidRPr="003942B4">
        <w:rPr>
          <w:rFonts w:ascii="Garamond" w:hAnsi="Garamond"/>
          <w:sz w:val="22"/>
        </w:rPr>
        <w:t xml:space="preserve">Email </w:t>
      </w:r>
      <w:hyperlink r:id="rId8" w:history="1">
        <w:r w:rsidRPr="003942B4">
          <w:rPr>
            <w:rStyle w:val="Hyperlink"/>
            <w:rFonts w:ascii="Garamond" w:hAnsi="Garamond"/>
            <w:sz w:val="22"/>
          </w:rPr>
          <w:t>paul.oslington@ac.edu.au</w:t>
        </w:r>
      </w:hyperlink>
    </w:p>
    <w:p w14:paraId="43181FD1" w14:textId="77777777" w:rsidR="003942B4" w:rsidRDefault="003942B4" w:rsidP="00624127">
      <w:pPr>
        <w:rPr>
          <w:rFonts w:ascii="Garamond" w:hAnsi="Garamond"/>
          <w:b/>
          <w:sz w:val="22"/>
        </w:rPr>
      </w:pPr>
    </w:p>
    <w:p w14:paraId="366A0143" w14:textId="6311F606" w:rsidR="008438D9" w:rsidRPr="00562A42" w:rsidRDefault="008438D9" w:rsidP="00624127">
      <w:pPr>
        <w:rPr>
          <w:rFonts w:ascii="Garamond" w:hAnsi="Garamond"/>
          <w:b/>
          <w:sz w:val="28"/>
          <w:szCs w:val="28"/>
        </w:rPr>
      </w:pPr>
      <w:r w:rsidRPr="00562A42">
        <w:rPr>
          <w:rFonts w:ascii="Garamond" w:hAnsi="Garamond"/>
          <w:b/>
          <w:sz w:val="28"/>
          <w:szCs w:val="28"/>
        </w:rPr>
        <w:t>I</w:t>
      </w:r>
      <w:r w:rsidR="009C0CC6" w:rsidRPr="00562A42">
        <w:rPr>
          <w:rFonts w:ascii="Garamond" w:hAnsi="Garamond"/>
          <w:b/>
          <w:sz w:val="28"/>
          <w:szCs w:val="28"/>
        </w:rPr>
        <w:t>ntroduction</w:t>
      </w:r>
    </w:p>
    <w:p w14:paraId="11C743CF" w14:textId="71DE2FDD" w:rsidR="000C0906" w:rsidRPr="009A0BE2" w:rsidRDefault="003F0DF8" w:rsidP="000C0906">
      <w:pPr>
        <w:rPr>
          <w:rFonts w:ascii="Garamond" w:hAnsi="Garamond"/>
          <w:sz w:val="22"/>
        </w:rPr>
      </w:pPr>
      <w:r>
        <w:rPr>
          <w:rFonts w:ascii="Garamond" w:hAnsi="Garamond"/>
          <w:sz w:val="22"/>
        </w:rPr>
        <w:t>F</w:t>
      </w:r>
      <w:r w:rsidR="00C65CF4" w:rsidRPr="009A0BE2">
        <w:rPr>
          <w:rFonts w:ascii="Garamond" w:hAnsi="Garamond"/>
          <w:sz w:val="22"/>
        </w:rPr>
        <w:t xml:space="preserve">or many years </w:t>
      </w:r>
      <w:r w:rsidRPr="009A0BE2">
        <w:rPr>
          <w:rFonts w:ascii="Garamond" w:hAnsi="Garamond"/>
          <w:sz w:val="22"/>
        </w:rPr>
        <w:t>our higher education system</w:t>
      </w:r>
      <w:r w:rsidRPr="009A0BE2">
        <w:rPr>
          <w:rFonts w:ascii="Garamond" w:hAnsi="Garamond"/>
          <w:sz w:val="22"/>
        </w:rPr>
        <w:t xml:space="preserve"> </w:t>
      </w:r>
      <w:r w:rsidR="000C0906" w:rsidRPr="009A0BE2">
        <w:rPr>
          <w:rFonts w:ascii="Garamond" w:hAnsi="Garamond"/>
          <w:sz w:val="22"/>
        </w:rPr>
        <w:t>been a story of organisational uniformity, intellectual uniformity, declining academic standards, lack of innovation, rent-seeking and high costs.</w:t>
      </w:r>
      <w:r w:rsidR="00F36982" w:rsidRPr="009A0BE2">
        <w:rPr>
          <w:rFonts w:ascii="Garamond" w:hAnsi="Garamond"/>
          <w:sz w:val="22"/>
        </w:rPr>
        <w:t xml:space="preserve"> </w:t>
      </w:r>
      <w:r w:rsidR="000C0906" w:rsidRPr="009A0BE2">
        <w:rPr>
          <w:rFonts w:ascii="Garamond" w:hAnsi="Garamond"/>
          <w:sz w:val="22"/>
        </w:rPr>
        <w:t>It is hard to see this story changing much in th</w:t>
      </w:r>
      <w:r w:rsidR="003C58F5" w:rsidRPr="009A0BE2">
        <w:rPr>
          <w:rFonts w:ascii="Garamond" w:hAnsi="Garamond"/>
          <w:sz w:val="22"/>
        </w:rPr>
        <w:t>is</w:t>
      </w:r>
      <w:r w:rsidR="000C0906" w:rsidRPr="009A0BE2">
        <w:rPr>
          <w:rFonts w:ascii="Garamond" w:hAnsi="Garamond"/>
          <w:sz w:val="22"/>
        </w:rPr>
        <w:t xml:space="preserve"> bureaucrat and union dominated world without competition from new entrants.</w:t>
      </w:r>
    </w:p>
    <w:p w14:paraId="09E3A7C0" w14:textId="1736A918" w:rsidR="00353BA7" w:rsidRPr="00624127" w:rsidRDefault="000C0906" w:rsidP="00353BA7">
      <w:pPr>
        <w:rPr>
          <w:rFonts w:ascii="Garamond" w:hAnsi="Garamond"/>
          <w:sz w:val="22"/>
        </w:rPr>
      </w:pPr>
      <w:r w:rsidRPr="009A0BE2">
        <w:rPr>
          <w:rFonts w:ascii="Garamond" w:hAnsi="Garamond"/>
          <w:sz w:val="22"/>
        </w:rPr>
        <w:t>Australia’s higher education system has so far been dominated by public universities.</w:t>
      </w:r>
      <w:r w:rsidR="00F36982" w:rsidRPr="009A0BE2">
        <w:rPr>
          <w:rFonts w:ascii="Garamond" w:hAnsi="Garamond"/>
          <w:sz w:val="22"/>
        </w:rPr>
        <w:t xml:space="preserve"> </w:t>
      </w:r>
      <w:r w:rsidRPr="009A0BE2">
        <w:rPr>
          <w:rFonts w:ascii="Garamond" w:hAnsi="Garamond"/>
          <w:sz w:val="22"/>
        </w:rPr>
        <w:t>The few private universities we have (such as Bond and Notre Dame Australia) were created by State Parliaments under regulatory arrangements that no longer exist</w:t>
      </w:r>
      <w:r w:rsidR="009034D0">
        <w:rPr>
          <w:rFonts w:ascii="Garamond" w:hAnsi="Garamond"/>
          <w:sz w:val="22"/>
        </w:rPr>
        <w:t>.</w:t>
      </w:r>
      <w:r w:rsidR="00FA7818" w:rsidRPr="00624127">
        <w:rPr>
          <w:rStyle w:val="FootnoteReference"/>
          <w:rFonts w:ascii="Garamond" w:hAnsi="Garamond"/>
          <w:sz w:val="22"/>
        </w:rPr>
        <w:footnoteReference w:id="1"/>
      </w:r>
      <w:r w:rsidR="009034D0">
        <w:rPr>
          <w:rFonts w:ascii="Garamond" w:hAnsi="Garamond"/>
          <w:sz w:val="22"/>
        </w:rPr>
        <w:t xml:space="preserve"> </w:t>
      </w:r>
      <w:r w:rsidR="00353BA7" w:rsidRPr="00624127">
        <w:rPr>
          <w:rFonts w:ascii="Garamond" w:hAnsi="Garamond"/>
          <w:sz w:val="22"/>
        </w:rPr>
        <w:t xml:space="preserve">The current regulatory regime was created in 2011, following the Bradley Review </w:t>
      </w:r>
      <w:r w:rsidR="003C58F5" w:rsidRPr="00624127">
        <w:rPr>
          <w:rFonts w:ascii="Garamond" w:hAnsi="Garamond"/>
          <w:sz w:val="22"/>
        </w:rPr>
        <w:t xml:space="preserve">of Higher Education </w:t>
      </w:r>
      <w:r w:rsidR="00353BA7" w:rsidRPr="00624127">
        <w:rPr>
          <w:rFonts w:ascii="Garamond" w:hAnsi="Garamond"/>
          <w:sz w:val="22"/>
        </w:rPr>
        <w:t>completed in 2008.</w:t>
      </w:r>
      <w:r w:rsidR="009034D0">
        <w:rPr>
          <w:rFonts w:ascii="Garamond" w:hAnsi="Garamond"/>
          <w:sz w:val="22"/>
        </w:rPr>
        <w:t xml:space="preserve"> </w:t>
      </w:r>
      <w:r w:rsidR="00353BA7" w:rsidRPr="00624127">
        <w:rPr>
          <w:rFonts w:ascii="Garamond" w:hAnsi="Garamond"/>
          <w:sz w:val="22"/>
        </w:rPr>
        <w:t>Under this regime</w:t>
      </w:r>
      <w:r w:rsidR="008E19A2">
        <w:rPr>
          <w:rFonts w:ascii="Garamond" w:hAnsi="Garamond"/>
          <w:sz w:val="22"/>
        </w:rPr>
        <w:t>,</w:t>
      </w:r>
      <w:r w:rsidR="00353BA7" w:rsidRPr="00624127">
        <w:rPr>
          <w:rFonts w:ascii="Garamond" w:hAnsi="Garamond"/>
          <w:sz w:val="22"/>
        </w:rPr>
        <w:t xml:space="preserve"> the Tertiary Education Quality and Standards Agency (TEQSA) administers rules for accrediting new universities set by the Higher Education Standards Panel</w:t>
      </w:r>
      <w:r w:rsidR="00FA7818" w:rsidRPr="00624127">
        <w:rPr>
          <w:rFonts w:ascii="Garamond" w:hAnsi="Garamond"/>
          <w:sz w:val="22"/>
        </w:rPr>
        <w:t xml:space="preserve"> (HESP)</w:t>
      </w:r>
      <w:r w:rsidR="008E19A2">
        <w:rPr>
          <w:rFonts w:ascii="Garamond" w:hAnsi="Garamond"/>
          <w:sz w:val="22"/>
        </w:rPr>
        <w:t>,</w:t>
      </w:r>
      <w:r w:rsidR="00FA7818" w:rsidRPr="00624127">
        <w:rPr>
          <w:rFonts w:ascii="Garamond" w:hAnsi="Garamond"/>
          <w:sz w:val="22"/>
        </w:rPr>
        <w:t xml:space="preserve"> which is </w:t>
      </w:r>
      <w:r w:rsidR="000021AE" w:rsidRPr="00624127">
        <w:rPr>
          <w:rFonts w:ascii="Garamond" w:hAnsi="Garamond"/>
          <w:sz w:val="22"/>
        </w:rPr>
        <w:t xml:space="preserve">made up of mostly </w:t>
      </w:r>
      <w:r w:rsidR="00FA7818" w:rsidRPr="00624127">
        <w:rPr>
          <w:rFonts w:ascii="Garamond" w:hAnsi="Garamond"/>
          <w:sz w:val="22"/>
        </w:rPr>
        <w:t>university experts.</w:t>
      </w:r>
    </w:p>
    <w:p w14:paraId="11D1E37A" w14:textId="09598C76" w:rsidR="0072109C" w:rsidRPr="00C02CF0" w:rsidRDefault="000021AE" w:rsidP="00AA12AE">
      <w:pPr>
        <w:rPr>
          <w:rFonts w:ascii="Garamond" w:hAnsi="Garamond"/>
          <w:sz w:val="22"/>
        </w:rPr>
      </w:pPr>
      <w:r w:rsidRPr="00624127">
        <w:rPr>
          <w:rFonts w:ascii="Garamond" w:hAnsi="Garamond"/>
          <w:sz w:val="22"/>
        </w:rPr>
        <w:t xml:space="preserve">Australian policy makers and </w:t>
      </w:r>
      <w:r w:rsidR="00335DFA" w:rsidRPr="00624127">
        <w:rPr>
          <w:rFonts w:ascii="Garamond" w:hAnsi="Garamond"/>
          <w:sz w:val="22"/>
        </w:rPr>
        <w:t xml:space="preserve">those who work in public </w:t>
      </w:r>
      <w:r w:rsidRPr="00624127">
        <w:rPr>
          <w:rFonts w:ascii="Garamond" w:hAnsi="Garamond"/>
          <w:sz w:val="22"/>
        </w:rPr>
        <w:t>universit</w:t>
      </w:r>
      <w:r w:rsidR="00335DFA" w:rsidRPr="00624127">
        <w:rPr>
          <w:rFonts w:ascii="Garamond" w:hAnsi="Garamond"/>
          <w:sz w:val="22"/>
        </w:rPr>
        <w:t>ies</w:t>
      </w:r>
      <w:r w:rsidRPr="00624127">
        <w:rPr>
          <w:rFonts w:ascii="Garamond" w:hAnsi="Garamond"/>
          <w:sz w:val="22"/>
        </w:rPr>
        <w:t xml:space="preserve"> find it difficult to conceive of anything else</w:t>
      </w:r>
      <w:r w:rsidR="009034D0">
        <w:rPr>
          <w:rFonts w:ascii="Garamond" w:hAnsi="Garamond"/>
          <w:sz w:val="22"/>
        </w:rPr>
        <w:t>.</w:t>
      </w:r>
      <w:r w:rsidR="00AA12AE" w:rsidRPr="00C02CF0">
        <w:rPr>
          <w:rStyle w:val="FootnoteReference"/>
          <w:rFonts w:ascii="Garamond" w:hAnsi="Garamond"/>
          <w:sz w:val="22"/>
        </w:rPr>
        <w:footnoteReference w:id="2"/>
      </w:r>
      <w:r w:rsidR="00F36982" w:rsidRPr="00C02CF0">
        <w:rPr>
          <w:rFonts w:ascii="Garamond" w:hAnsi="Garamond"/>
          <w:sz w:val="22"/>
        </w:rPr>
        <w:t xml:space="preserve"> </w:t>
      </w:r>
      <w:r w:rsidR="00335DFA" w:rsidRPr="00C02CF0">
        <w:rPr>
          <w:rFonts w:ascii="Garamond" w:hAnsi="Garamond"/>
          <w:sz w:val="22"/>
        </w:rPr>
        <w:t xml:space="preserve">Most of the people in the room </w:t>
      </w:r>
      <w:r w:rsidRPr="00C02CF0">
        <w:rPr>
          <w:rFonts w:ascii="Garamond" w:hAnsi="Garamond"/>
          <w:sz w:val="22"/>
        </w:rPr>
        <w:t>tend to be alumn</w:t>
      </w:r>
      <w:r w:rsidR="00335DFA" w:rsidRPr="00C02CF0">
        <w:rPr>
          <w:rFonts w:ascii="Garamond" w:hAnsi="Garamond"/>
          <w:sz w:val="22"/>
        </w:rPr>
        <w:t>i</w:t>
      </w:r>
      <w:r w:rsidRPr="00C02CF0">
        <w:rPr>
          <w:rFonts w:ascii="Garamond" w:hAnsi="Garamond"/>
          <w:sz w:val="22"/>
        </w:rPr>
        <w:t xml:space="preserve"> of Australian universit</w:t>
      </w:r>
      <w:r w:rsidR="008E19A2">
        <w:rPr>
          <w:rFonts w:ascii="Garamond" w:hAnsi="Garamond"/>
          <w:sz w:val="22"/>
        </w:rPr>
        <w:t>ies</w:t>
      </w:r>
      <w:r w:rsidRPr="00C02CF0">
        <w:rPr>
          <w:rFonts w:ascii="Garamond" w:hAnsi="Garamond"/>
          <w:sz w:val="22"/>
        </w:rPr>
        <w:t xml:space="preserve">. The universities maintain large public </w:t>
      </w:r>
      <w:r w:rsidR="00AA12AE" w:rsidRPr="00C02CF0">
        <w:rPr>
          <w:rFonts w:ascii="Garamond" w:hAnsi="Garamond"/>
          <w:sz w:val="22"/>
        </w:rPr>
        <w:t>relations</w:t>
      </w:r>
      <w:r w:rsidRPr="00C02CF0">
        <w:rPr>
          <w:rFonts w:ascii="Garamond" w:hAnsi="Garamond"/>
          <w:sz w:val="22"/>
        </w:rPr>
        <w:t xml:space="preserve"> departments and </w:t>
      </w:r>
      <w:r w:rsidR="00AA12AE" w:rsidRPr="00C02CF0">
        <w:rPr>
          <w:rFonts w:ascii="Garamond" w:hAnsi="Garamond"/>
          <w:sz w:val="22"/>
        </w:rPr>
        <w:t>multiple w</w:t>
      </w:r>
      <w:r w:rsidR="0072109C" w:rsidRPr="00C02CF0">
        <w:rPr>
          <w:rFonts w:ascii="Garamond" w:hAnsi="Garamond"/>
          <w:sz w:val="22"/>
        </w:rPr>
        <w:t>ell-funded Canberra lobby</w:t>
      </w:r>
      <w:r w:rsidR="00AA12AE" w:rsidRPr="00C02CF0">
        <w:rPr>
          <w:rFonts w:ascii="Garamond" w:hAnsi="Garamond"/>
          <w:sz w:val="22"/>
        </w:rPr>
        <w:t xml:space="preserve"> groups</w:t>
      </w:r>
      <w:r w:rsidR="0072109C" w:rsidRPr="00C02CF0">
        <w:rPr>
          <w:rFonts w:ascii="Garamond" w:hAnsi="Garamond"/>
          <w:sz w:val="22"/>
        </w:rPr>
        <w:t>.</w:t>
      </w:r>
      <w:r w:rsidR="00F36982" w:rsidRPr="00C02CF0">
        <w:rPr>
          <w:rFonts w:ascii="Garamond" w:hAnsi="Garamond"/>
          <w:sz w:val="22"/>
        </w:rPr>
        <w:t xml:space="preserve"> </w:t>
      </w:r>
      <w:r w:rsidR="00AA12AE" w:rsidRPr="00C02CF0">
        <w:rPr>
          <w:rFonts w:ascii="Garamond" w:hAnsi="Garamond"/>
          <w:sz w:val="22"/>
        </w:rPr>
        <w:t>University experts stack the policy advisory committees.</w:t>
      </w:r>
      <w:r w:rsidR="00F36982" w:rsidRPr="00C02CF0">
        <w:rPr>
          <w:rFonts w:ascii="Garamond" w:hAnsi="Garamond"/>
          <w:sz w:val="22"/>
        </w:rPr>
        <w:t xml:space="preserve"> </w:t>
      </w:r>
      <w:r w:rsidR="00AA12AE" w:rsidRPr="00C02CF0">
        <w:rPr>
          <w:rFonts w:ascii="Garamond" w:hAnsi="Garamond"/>
          <w:sz w:val="22"/>
        </w:rPr>
        <w:t xml:space="preserve">There are cosy </w:t>
      </w:r>
      <w:r w:rsidR="0072109C" w:rsidRPr="00C02CF0">
        <w:rPr>
          <w:rFonts w:ascii="Garamond" w:hAnsi="Garamond"/>
          <w:sz w:val="22"/>
        </w:rPr>
        <w:t xml:space="preserve">arrangements </w:t>
      </w:r>
      <w:r w:rsidR="00AA12AE" w:rsidRPr="00C02CF0">
        <w:rPr>
          <w:rFonts w:ascii="Garamond" w:hAnsi="Garamond"/>
          <w:sz w:val="22"/>
        </w:rPr>
        <w:t xml:space="preserve">between the </w:t>
      </w:r>
      <w:r w:rsidR="0072109C" w:rsidRPr="00C02CF0">
        <w:rPr>
          <w:rFonts w:ascii="Garamond" w:hAnsi="Garamond"/>
          <w:sz w:val="22"/>
        </w:rPr>
        <w:t>higher education bureaucracy</w:t>
      </w:r>
      <w:r w:rsidR="00AA12AE" w:rsidRPr="00C02CF0">
        <w:rPr>
          <w:rFonts w:ascii="Garamond" w:hAnsi="Garamond"/>
          <w:sz w:val="22"/>
        </w:rPr>
        <w:t xml:space="preserve">, university management </w:t>
      </w:r>
      <w:r w:rsidR="0072109C" w:rsidRPr="00C02CF0">
        <w:rPr>
          <w:rFonts w:ascii="Garamond" w:hAnsi="Garamond"/>
          <w:sz w:val="22"/>
        </w:rPr>
        <w:t xml:space="preserve">and </w:t>
      </w:r>
      <w:r w:rsidR="00AA12AE" w:rsidRPr="00C02CF0">
        <w:rPr>
          <w:rFonts w:ascii="Garamond" w:hAnsi="Garamond"/>
          <w:sz w:val="22"/>
        </w:rPr>
        <w:t xml:space="preserve">the </w:t>
      </w:r>
      <w:r w:rsidR="0072109C" w:rsidRPr="00C02CF0">
        <w:rPr>
          <w:rFonts w:ascii="Garamond" w:hAnsi="Garamond"/>
          <w:sz w:val="22"/>
        </w:rPr>
        <w:t>unions.</w:t>
      </w:r>
      <w:r w:rsidR="00F36982" w:rsidRPr="00C02CF0">
        <w:rPr>
          <w:rFonts w:ascii="Garamond" w:hAnsi="Garamond"/>
          <w:sz w:val="22"/>
        </w:rPr>
        <w:t xml:space="preserve"> </w:t>
      </w:r>
      <w:r w:rsidR="00AA12AE" w:rsidRPr="00C02CF0">
        <w:rPr>
          <w:rFonts w:ascii="Garamond" w:hAnsi="Garamond"/>
          <w:sz w:val="22"/>
        </w:rPr>
        <w:t>Australian newspapers and websites which rely on university advertising are reluctant to antagonise those who send money their way.</w:t>
      </w:r>
      <w:r w:rsidR="00F36982" w:rsidRPr="00C02CF0">
        <w:rPr>
          <w:rFonts w:ascii="Garamond" w:hAnsi="Garamond"/>
          <w:sz w:val="22"/>
        </w:rPr>
        <w:t xml:space="preserve"> </w:t>
      </w:r>
      <w:r w:rsidR="000C0906" w:rsidRPr="00C02CF0">
        <w:rPr>
          <w:rFonts w:ascii="Garamond" w:hAnsi="Garamond"/>
          <w:sz w:val="22"/>
        </w:rPr>
        <w:t>A game of mates?</w:t>
      </w:r>
      <w:r w:rsidR="00335DFA" w:rsidRPr="00C02CF0">
        <w:rPr>
          <w:rStyle w:val="FootnoteReference"/>
          <w:rFonts w:ascii="Garamond" w:hAnsi="Garamond"/>
          <w:sz w:val="22"/>
        </w:rPr>
        <w:footnoteReference w:id="3"/>
      </w:r>
      <w:r w:rsidR="00F36982" w:rsidRPr="00C02CF0">
        <w:rPr>
          <w:rFonts w:ascii="Garamond" w:hAnsi="Garamond"/>
          <w:sz w:val="22"/>
        </w:rPr>
        <w:t xml:space="preserve"> </w:t>
      </w:r>
      <w:r w:rsidR="000C0906" w:rsidRPr="00C02CF0">
        <w:rPr>
          <w:rFonts w:ascii="Garamond" w:hAnsi="Garamond"/>
          <w:sz w:val="22"/>
        </w:rPr>
        <w:t xml:space="preserve">Perhaps even </w:t>
      </w:r>
      <w:r w:rsidR="00AA12AE" w:rsidRPr="00C02CF0">
        <w:rPr>
          <w:rFonts w:ascii="Garamond" w:hAnsi="Garamond"/>
          <w:sz w:val="22"/>
        </w:rPr>
        <w:t>a cartel?</w:t>
      </w:r>
      <w:r w:rsidR="00420360" w:rsidRPr="00C02CF0">
        <w:rPr>
          <w:rStyle w:val="FootnoteReference"/>
          <w:rFonts w:ascii="Garamond" w:hAnsi="Garamond"/>
          <w:sz w:val="22"/>
        </w:rPr>
        <w:footnoteReference w:id="4"/>
      </w:r>
    </w:p>
    <w:p w14:paraId="5DF9CED0" w14:textId="62E3F783" w:rsidR="00A06FCF" w:rsidRPr="00562A42" w:rsidRDefault="003C58F5" w:rsidP="00C02CF0">
      <w:pPr>
        <w:spacing w:after="200" w:line="276" w:lineRule="auto"/>
        <w:rPr>
          <w:rFonts w:ascii="Garamond" w:hAnsi="Garamond"/>
          <w:b/>
          <w:sz w:val="28"/>
          <w:szCs w:val="28"/>
        </w:rPr>
      </w:pPr>
      <w:r w:rsidRPr="00562A42">
        <w:rPr>
          <w:rFonts w:ascii="Garamond" w:hAnsi="Garamond"/>
          <w:b/>
          <w:sz w:val="28"/>
          <w:szCs w:val="28"/>
        </w:rPr>
        <w:t>C</w:t>
      </w:r>
      <w:r w:rsidR="000F739A" w:rsidRPr="00562A42">
        <w:rPr>
          <w:rFonts w:ascii="Garamond" w:hAnsi="Garamond"/>
          <w:b/>
          <w:sz w:val="28"/>
          <w:szCs w:val="28"/>
        </w:rPr>
        <w:t>onsequences</w:t>
      </w:r>
    </w:p>
    <w:p w14:paraId="6FF057F6" w14:textId="5DD174E1" w:rsidR="00FF0E89" w:rsidRPr="00C02CF0" w:rsidRDefault="00AA12AE" w:rsidP="00891385">
      <w:pPr>
        <w:contextualSpacing/>
        <w:rPr>
          <w:rFonts w:ascii="Garamond" w:hAnsi="Garamond"/>
          <w:sz w:val="22"/>
        </w:rPr>
      </w:pPr>
      <w:r w:rsidRPr="00C02CF0">
        <w:rPr>
          <w:rFonts w:ascii="Garamond" w:hAnsi="Garamond"/>
          <w:sz w:val="22"/>
        </w:rPr>
        <w:t>These cosy arrangement</w:t>
      </w:r>
      <w:r w:rsidR="001E34B3" w:rsidRPr="00C02CF0">
        <w:rPr>
          <w:rFonts w:ascii="Garamond" w:hAnsi="Garamond"/>
          <w:sz w:val="22"/>
        </w:rPr>
        <w:t>s</w:t>
      </w:r>
      <w:r w:rsidRPr="00C02CF0">
        <w:rPr>
          <w:rFonts w:ascii="Garamond" w:hAnsi="Garamond"/>
          <w:sz w:val="22"/>
        </w:rPr>
        <w:t xml:space="preserve"> </w:t>
      </w:r>
      <w:r w:rsidR="001E34B3" w:rsidRPr="00C02CF0">
        <w:rPr>
          <w:rFonts w:ascii="Garamond" w:hAnsi="Garamond"/>
          <w:sz w:val="22"/>
        </w:rPr>
        <w:t xml:space="preserve">have left Australia </w:t>
      </w:r>
      <w:r w:rsidRPr="00C02CF0">
        <w:rPr>
          <w:rFonts w:ascii="Garamond" w:hAnsi="Garamond"/>
          <w:sz w:val="22"/>
        </w:rPr>
        <w:t>with a l</w:t>
      </w:r>
      <w:r w:rsidR="002E209F" w:rsidRPr="00C02CF0">
        <w:rPr>
          <w:rFonts w:ascii="Garamond" w:hAnsi="Garamond"/>
          <w:sz w:val="22"/>
        </w:rPr>
        <w:t>ack of competitive neutrality between private and public providers</w:t>
      </w:r>
      <w:r w:rsidRPr="00C02CF0">
        <w:rPr>
          <w:rFonts w:ascii="Garamond" w:hAnsi="Garamond"/>
          <w:sz w:val="22"/>
        </w:rPr>
        <w:t xml:space="preserve"> and h</w:t>
      </w:r>
      <w:r w:rsidR="001E34B3" w:rsidRPr="00C02CF0">
        <w:rPr>
          <w:rFonts w:ascii="Garamond" w:hAnsi="Garamond"/>
          <w:sz w:val="22"/>
        </w:rPr>
        <w:t>igh barriers to entry for potential</w:t>
      </w:r>
      <w:r w:rsidR="002E209F" w:rsidRPr="00C02CF0">
        <w:rPr>
          <w:rFonts w:ascii="Garamond" w:hAnsi="Garamond"/>
          <w:sz w:val="22"/>
        </w:rPr>
        <w:t xml:space="preserve"> new providers</w:t>
      </w:r>
      <w:r w:rsidR="00BD7BD1">
        <w:rPr>
          <w:rStyle w:val="FootnoteReference"/>
          <w:rFonts w:ascii="Garamond" w:hAnsi="Garamond"/>
          <w:sz w:val="22"/>
        </w:rPr>
        <w:footnoteReference w:id="5"/>
      </w:r>
      <w:r w:rsidR="002E209F" w:rsidRPr="00C02CF0">
        <w:rPr>
          <w:rFonts w:ascii="Garamond" w:hAnsi="Garamond"/>
          <w:sz w:val="22"/>
        </w:rPr>
        <w:t>.</w:t>
      </w:r>
      <w:r w:rsidR="00F36982" w:rsidRPr="00C02CF0">
        <w:rPr>
          <w:rFonts w:ascii="Garamond" w:hAnsi="Garamond"/>
          <w:sz w:val="22"/>
        </w:rPr>
        <w:t xml:space="preserve"> </w:t>
      </w:r>
      <w:r w:rsidR="00420360" w:rsidRPr="00C02CF0">
        <w:rPr>
          <w:rFonts w:ascii="Garamond" w:hAnsi="Garamond"/>
          <w:sz w:val="22"/>
        </w:rPr>
        <w:t>What are the consequences of this lack of competitive</w:t>
      </w:r>
      <w:r w:rsidR="007A6388">
        <w:rPr>
          <w:rFonts w:ascii="Garamond" w:hAnsi="Garamond"/>
          <w:sz w:val="22"/>
        </w:rPr>
        <w:t>ness</w:t>
      </w:r>
      <w:r w:rsidR="00420360" w:rsidRPr="00C02CF0">
        <w:rPr>
          <w:rFonts w:ascii="Garamond" w:hAnsi="Garamond"/>
          <w:sz w:val="22"/>
        </w:rPr>
        <w:t xml:space="preserve"> </w:t>
      </w:r>
      <w:r w:rsidR="00F36AC9" w:rsidRPr="00C02CF0">
        <w:rPr>
          <w:rFonts w:ascii="Garamond" w:hAnsi="Garamond"/>
          <w:sz w:val="22"/>
        </w:rPr>
        <w:t>for students and the wider public?</w:t>
      </w:r>
    </w:p>
    <w:p w14:paraId="1C59F4B1" w14:textId="649C919D" w:rsidR="003426C6" w:rsidRPr="00C02CF0" w:rsidRDefault="00FF0E89" w:rsidP="00891385">
      <w:pPr>
        <w:contextualSpacing/>
        <w:rPr>
          <w:rFonts w:ascii="Garamond" w:hAnsi="Garamond"/>
          <w:sz w:val="22"/>
        </w:rPr>
      </w:pPr>
      <w:r w:rsidRPr="00C02CF0">
        <w:rPr>
          <w:rFonts w:ascii="Garamond" w:hAnsi="Garamond"/>
          <w:sz w:val="22"/>
        </w:rPr>
        <w:lastRenderedPageBreak/>
        <w:t xml:space="preserve">One </w:t>
      </w:r>
      <w:r w:rsidR="0070772F" w:rsidRPr="00C02CF0">
        <w:rPr>
          <w:rFonts w:ascii="Garamond" w:hAnsi="Garamond"/>
          <w:sz w:val="22"/>
        </w:rPr>
        <w:t xml:space="preserve">consequence </w:t>
      </w:r>
      <w:r w:rsidRPr="00C02CF0">
        <w:rPr>
          <w:rFonts w:ascii="Garamond" w:hAnsi="Garamond"/>
          <w:sz w:val="22"/>
        </w:rPr>
        <w:t xml:space="preserve">is a </w:t>
      </w:r>
      <w:r w:rsidRPr="00C02CF0">
        <w:rPr>
          <w:rFonts w:ascii="Garamond" w:hAnsi="Garamond"/>
          <w:b/>
          <w:sz w:val="22"/>
        </w:rPr>
        <w:t>l</w:t>
      </w:r>
      <w:r w:rsidR="0072109C" w:rsidRPr="00C02CF0">
        <w:rPr>
          <w:rFonts w:ascii="Garamond" w:hAnsi="Garamond"/>
          <w:b/>
          <w:sz w:val="22"/>
        </w:rPr>
        <w:t>ack of diversity</w:t>
      </w:r>
      <w:r w:rsidR="0072109C" w:rsidRPr="00C02CF0">
        <w:rPr>
          <w:rFonts w:ascii="Garamond" w:hAnsi="Garamond"/>
          <w:sz w:val="22"/>
        </w:rPr>
        <w:t>.</w:t>
      </w:r>
      <w:r w:rsidR="00F36982" w:rsidRPr="00C02CF0">
        <w:rPr>
          <w:rFonts w:ascii="Garamond" w:hAnsi="Garamond"/>
          <w:sz w:val="22"/>
        </w:rPr>
        <w:t xml:space="preserve"> </w:t>
      </w:r>
      <w:r w:rsidR="003426C6" w:rsidRPr="00C02CF0">
        <w:rPr>
          <w:rFonts w:ascii="Garamond" w:hAnsi="Garamond"/>
          <w:sz w:val="22"/>
        </w:rPr>
        <w:t>We have around forty public universities that are remarkably similar in structure and aspiration.</w:t>
      </w:r>
      <w:r w:rsidR="00F36982" w:rsidRPr="00C02CF0">
        <w:rPr>
          <w:rFonts w:ascii="Garamond" w:hAnsi="Garamond"/>
          <w:sz w:val="22"/>
        </w:rPr>
        <w:t xml:space="preserve"> </w:t>
      </w:r>
      <w:r w:rsidR="003426C6" w:rsidRPr="00C02CF0">
        <w:rPr>
          <w:rFonts w:ascii="Garamond" w:hAnsi="Garamond"/>
          <w:sz w:val="22"/>
        </w:rPr>
        <w:t>And their marketing slogans</w:t>
      </w:r>
      <w:r w:rsidR="008E19A2">
        <w:rPr>
          <w:rFonts w:ascii="Garamond" w:hAnsi="Garamond"/>
          <w:sz w:val="22"/>
        </w:rPr>
        <w:t>:</w:t>
      </w:r>
      <w:r w:rsidR="003426C6" w:rsidRPr="00C02CF0">
        <w:rPr>
          <w:rFonts w:ascii="Garamond" w:hAnsi="Garamond"/>
          <w:sz w:val="22"/>
        </w:rPr>
        <w:t xml:space="preserve"> I doubt even many university staff presented with a list of universities and their marketing slogans wou</w:t>
      </w:r>
      <w:r w:rsidR="00420360" w:rsidRPr="00C02CF0">
        <w:rPr>
          <w:rFonts w:ascii="Garamond" w:hAnsi="Garamond"/>
          <w:sz w:val="22"/>
        </w:rPr>
        <w:t>ld be able to match very many in</w:t>
      </w:r>
      <w:r w:rsidR="003426C6" w:rsidRPr="00C02CF0">
        <w:rPr>
          <w:rFonts w:ascii="Garamond" w:hAnsi="Garamond"/>
          <w:sz w:val="22"/>
        </w:rPr>
        <w:t xml:space="preserve"> a blind challenge. </w:t>
      </w:r>
      <w:r w:rsidR="008E19A2">
        <w:rPr>
          <w:rFonts w:ascii="Garamond" w:hAnsi="Garamond"/>
          <w:sz w:val="22"/>
        </w:rPr>
        <w:t>T</w:t>
      </w:r>
      <w:r w:rsidR="00420360" w:rsidRPr="00C02CF0">
        <w:rPr>
          <w:rFonts w:ascii="Garamond" w:hAnsi="Garamond"/>
          <w:sz w:val="22"/>
        </w:rPr>
        <w:t xml:space="preserve">hrowing in a few slogans from the random slogan </w:t>
      </w:r>
      <w:proofErr w:type="gramStart"/>
      <w:r w:rsidR="00420360" w:rsidRPr="00C02CF0">
        <w:rPr>
          <w:rFonts w:ascii="Garamond" w:hAnsi="Garamond"/>
          <w:sz w:val="22"/>
        </w:rPr>
        <w:t>generator  would</w:t>
      </w:r>
      <w:proofErr w:type="gramEnd"/>
      <w:r w:rsidR="00420360" w:rsidRPr="00C02CF0">
        <w:rPr>
          <w:rFonts w:ascii="Garamond" w:hAnsi="Garamond"/>
          <w:sz w:val="22"/>
        </w:rPr>
        <w:t xml:space="preserve"> </w:t>
      </w:r>
      <w:r w:rsidR="006B09A4" w:rsidRPr="00C02CF0">
        <w:rPr>
          <w:rFonts w:ascii="Garamond" w:hAnsi="Garamond"/>
          <w:sz w:val="22"/>
        </w:rPr>
        <w:t>be much</w:t>
      </w:r>
      <w:r w:rsidR="00420360" w:rsidRPr="00C02CF0">
        <w:rPr>
          <w:rFonts w:ascii="Garamond" w:hAnsi="Garamond"/>
          <w:sz w:val="22"/>
        </w:rPr>
        <w:t xml:space="preserve"> better value for universities than their expensive consultants.</w:t>
      </w:r>
      <w:r w:rsidR="00F36982" w:rsidRPr="00C02CF0">
        <w:rPr>
          <w:rFonts w:ascii="Garamond" w:hAnsi="Garamond"/>
          <w:sz w:val="22"/>
        </w:rPr>
        <w:t xml:space="preserve"> </w:t>
      </w:r>
      <w:r w:rsidR="003426C6" w:rsidRPr="00C02CF0">
        <w:rPr>
          <w:rFonts w:ascii="Garamond" w:hAnsi="Garamond"/>
          <w:sz w:val="22"/>
        </w:rPr>
        <w:t xml:space="preserve">Variation is mainly the extent to which </w:t>
      </w:r>
      <w:r w:rsidR="00420360" w:rsidRPr="00C02CF0">
        <w:rPr>
          <w:rFonts w:ascii="Garamond" w:hAnsi="Garamond"/>
          <w:sz w:val="22"/>
        </w:rPr>
        <w:t xml:space="preserve">universities </w:t>
      </w:r>
      <w:r w:rsidR="003426C6" w:rsidRPr="00C02CF0">
        <w:rPr>
          <w:rFonts w:ascii="Garamond" w:hAnsi="Garamond"/>
          <w:sz w:val="22"/>
        </w:rPr>
        <w:t>live up to their claims to research quality, and in their financial position</w:t>
      </w:r>
      <w:r w:rsidR="00420360" w:rsidRPr="00C02CF0">
        <w:rPr>
          <w:rFonts w:ascii="Garamond" w:hAnsi="Garamond"/>
          <w:sz w:val="22"/>
        </w:rPr>
        <w:t>.</w:t>
      </w:r>
      <w:r w:rsidR="00F36982" w:rsidRPr="00C02CF0">
        <w:rPr>
          <w:rFonts w:ascii="Garamond" w:hAnsi="Garamond"/>
          <w:sz w:val="22"/>
        </w:rPr>
        <w:t xml:space="preserve"> </w:t>
      </w:r>
      <w:r w:rsidR="00420360" w:rsidRPr="00C02CF0">
        <w:rPr>
          <w:rFonts w:ascii="Garamond" w:hAnsi="Garamond"/>
          <w:sz w:val="22"/>
        </w:rPr>
        <w:t>Thi</w:t>
      </w:r>
      <w:r w:rsidR="005D755A" w:rsidRPr="00C02CF0">
        <w:rPr>
          <w:rFonts w:ascii="Garamond" w:hAnsi="Garamond"/>
          <w:sz w:val="22"/>
        </w:rPr>
        <w:t xml:space="preserve">s </w:t>
      </w:r>
      <w:r w:rsidR="003426C6" w:rsidRPr="00C02CF0">
        <w:rPr>
          <w:rFonts w:ascii="Garamond" w:hAnsi="Garamond"/>
          <w:sz w:val="22"/>
        </w:rPr>
        <w:t>closely tracks their age.</w:t>
      </w:r>
    </w:p>
    <w:p w14:paraId="02826E85" w14:textId="60EC8CFF" w:rsidR="002E209F" w:rsidRPr="00C02CF0" w:rsidRDefault="003426C6" w:rsidP="00891385">
      <w:pPr>
        <w:contextualSpacing/>
        <w:rPr>
          <w:rFonts w:ascii="Garamond" w:hAnsi="Garamond"/>
          <w:sz w:val="22"/>
        </w:rPr>
      </w:pPr>
      <w:r w:rsidRPr="00C02CF0">
        <w:rPr>
          <w:rFonts w:ascii="Garamond" w:hAnsi="Garamond"/>
          <w:sz w:val="22"/>
        </w:rPr>
        <w:t>It is hard not to think this i</w:t>
      </w:r>
      <w:r w:rsidR="0072109C" w:rsidRPr="00C02CF0">
        <w:rPr>
          <w:rFonts w:ascii="Garamond" w:hAnsi="Garamond"/>
          <w:sz w:val="22"/>
        </w:rPr>
        <w:t xml:space="preserve">nstitutional monoculture </w:t>
      </w:r>
      <w:r w:rsidRPr="00C02CF0">
        <w:rPr>
          <w:rFonts w:ascii="Garamond" w:hAnsi="Garamond"/>
          <w:sz w:val="22"/>
        </w:rPr>
        <w:t xml:space="preserve">is part of the reason we have an </w:t>
      </w:r>
      <w:r w:rsidR="0072109C" w:rsidRPr="00C02CF0">
        <w:rPr>
          <w:rFonts w:ascii="Garamond" w:hAnsi="Garamond"/>
          <w:sz w:val="22"/>
        </w:rPr>
        <w:t>intellectual monoculture.</w:t>
      </w:r>
      <w:r w:rsidR="00F36982" w:rsidRPr="00C02CF0">
        <w:rPr>
          <w:rFonts w:ascii="Garamond" w:hAnsi="Garamond"/>
          <w:sz w:val="22"/>
        </w:rPr>
        <w:t xml:space="preserve"> </w:t>
      </w:r>
      <w:r w:rsidRPr="00C02CF0">
        <w:rPr>
          <w:rFonts w:ascii="Garamond" w:hAnsi="Garamond"/>
          <w:sz w:val="22"/>
        </w:rPr>
        <w:t>Take the example</w:t>
      </w:r>
      <w:r w:rsidR="007A6388">
        <w:rPr>
          <w:rFonts w:ascii="Garamond" w:hAnsi="Garamond"/>
          <w:sz w:val="22"/>
        </w:rPr>
        <w:t>s</w:t>
      </w:r>
      <w:r w:rsidRPr="00C02CF0">
        <w:rPr>
          <w:rFonts w:ascii="Garamond" w:hAnsi="Garamond"/>
          <w:sz w:val="22"/>
        </w:rPr>
        <w:t xml:space="preserve"> of the education faculties in our universities and their attitude to</w:t>
      </w:r>
      <w:r w:rsidR="009034D0">
        <w:rPr>
          <w:rFonts w:ascii="Garamond" w:hAnsi="Garamond"/>
          <w:sz w:val="22"/>
        </w:rPr>
        <w:t xml:space="preserve"> </w:t>
      </w:r>
      <w:r w:rsidR="000C0906" w:rsidRPr="00C02CF0">
        <w:rPr>
          <w:rFonts w:ascii="Garamond" w:hAnsi="Garamond"/>
          <w:sz w:val="22"/>
        </w:rPr>
        <w:t>phonics</w:t>
      </w:r>
      <w:r w:rsidRPr="00C02CF0">
        <w:rPr>
          <w:rFonts w:ascii="Garamond" w:hAnsi="Garamond"/>
          <w:sz w:val="22"/>
        </w:rPr>
        <w:t xml:space="preserve"> education, as highlighted by Buckingham (2009)</w:t>
      </w:r>
      <w:r w:rsidR="007A6388">
        <w:rPr>
          <w:rFonts w:ascii="Garamond" w:hAnsi="Garamond"/>
          <w:sz w:val="22"/>
        </w:rPr>
        <w:t>,</w:t>
      </w:r>
      <w:r w:rsidR="00F36982" w:rsidRPr="00C02CF0">
        <w:rPr>
          <w:rFonts w:ascii="Garamond" w:hAnsi="Garamond"/>
          <w:sz w:val="22"/>
        </w:rPr>
        <w:t xml:space="preserve"> </w:t>
      </w:r>
      <w:r w:rsidR="007A6388">
        <w:rPr>
          <w:rFonts w:ascii="Garamond" w:hAnsi="Garamond"/>
          <w:sz w:val="22"/>
        </w:rPr>
        <w:t>o</w:t>
      </w:r>
      <w:r w:rsidRPr="00C02CF0">
        <w:rPr>
          <w:rFonts w:ascii="Garamond" w:hAnsi="Garamond"/>
          <w:sz w:val="22"/>
        </w:rPr>
        <w:t xml:space="preserve">r the </w:t>
      </w:r>
      <w:r w:rsidR="0070772F" w:rsidRPr="00C02CF0">
        <w:rPr>
          <w:rFonts w:ascii="Garamond" w:hAnsi="Garamond"/>
          <w:sz w:val="22"/>
        </w:rPr>
        <w:t xml:space="preserve">approach </w:t>
      </w:r>
      <w:r w:rsidRPr="00C02CF0">
        <w:rPr>
          <w:rFonts w:ascii="Garamond" w:hAnsi="Garamond"/>
          <w:sz w:val="22"/>
        </w:rPr>
        <w:t>to religion</w:t>
      </w:r>
      <w:r w:rsidR="0070772F" w:rsidRPr="00C02CF0">
        <w:rPr>
          <w:rFonts w:ascii="Garamond" w:hAnsi="Garamond"/>
          <w:sz w:val="22"/>
        </w:rPr>
        <w:t xml:space="preserve"> in our universities</w:t>
      </w:r>
      <w:r w:rsidRPr="00C02CF0">
        <w:rPr>
          <w:rFonts w:ascii="Garamond" w:hAnsi="Garamond"/>
          <w:sz w:val="22"/>
        </w:rPr>
        <w:t xml:space="preserve">, as discussed in Oslington </w:t>
      </w:r>
      <w:r w:rsidR="0070772F" w:rsidRPr="00C02CF0">
        <w:rPr>
          <w:rFonts w:ascii="Garamond" w:hAnsi="Garamond"/>
          <w:sz w:val="22"/>
        </w:rPr>
        <w:t>(2014).</w:t>
      </w:r>
    </w:p>
    <w:p w14:paraId="2522460F" w14:textId="6DEA0041" w:rsidR="002E209F" w:rsidRPr="00C02CF0" w:rsidRDefault="0070772F" w:rsidP="00891385">
      <w:pPr>
        <w:rPr>
          <w:rFonts w:ascii="Garamond" w:hAnsi="Garamond"/>
          <w:sz w:val="22"/>
        </w:rPr>
      </w:pPr>
      <w:r w:rsidRPr="00C02CF0">
        <w:rPr>
          <w:rFonts w:ascii="Garamond" w:hAnsi="Garamond"/>
          <w:sz w:val="22"/>
        </w:rPr>
        <w:t>Another consequence</w:t>
      </w:r>
      <w:r w:rsidR="007A6388">
        <w:rPr>
          <w:rFonts w:ascii="Garamond" w:hAnsi="Garamond"/>
          <w:sz w:val="22"/>
        </w:rPr>
        <w:t xml:space="preserve"> is</w:t>
      </w:r>
      <w:r w:rsidRPr="00C02CF0">
        <w:rPr>
          <w:rFonts w:ascii="Garamond" w:hAnsi="Garamond"/>
          <w:sz w:val="22"/>
        </w:rPr>
        <w:t xml:space="preserve"> a </w:t>
      </w:r>
      <w:r w:rsidRPr="00C02CF0">
        <w:rPr>
          <w:rFonts w:ascii="Garamond" w:hAnsi="Garamond"/>
          <w:b/>
          <w:sz w:val="22"/>
        </w:rPr>
        <w:t>l</w:t>
      </w:r>
      <w:r w:rsidR="00A06FCF" w:rsidRPr="00C02CF0">
        <w:rPr>
          <w:rFonts w:ascii="Garamond" w:hAnsi="Garamond"/>
          <w:b/>
          <w:sz w:val="22"/>
        </w:rPr>
        <w:t xml:space="preserve">ack </w:t>
      </w:r>
      <w:r w:rsidRPr="00C02CF0">
        <w:rPr>
          <w:rFonts w:ascii="Garamond" w:hAnsi="Garamond"/>
          <w:b/>
          <w:sz w:val="22"/>
        </w:rPr>
        <w:t>of i</w:t>
      </w:r>
      <w:r w:rsidR="00A06FCF" w:rsidRPr="00C02CF0">
        <w:rPr>
          <w:rFonts w:ascii="Garamond" w:hAnsi="Garamond"/>
          <w:b/>
          <w:sz w:val="22"/>
        </w:rPr>
        <w:t>nnovation</w:t>
      </w:r>
      <w:r w:rsidRPr="00C02CF0">
        <w:rPr>
          <w:rFonts w:ascii="Garamond" w:hAnsi="Garamond"/>
          <w:sz w:val="22"/>
        </w:rPr>
        <w:t>.</w:t>
      </w:r>
      <w:r w:rsidR="00F36982" w:rsidRPr="00C02CF0">
        <w:rPr>
          <w:rFonts w:ascii="Garamond" w:hAnsi="Garamond"/>
          <w:sz w:val="22"/>
        </w:rPr>
        <w:t xml:space="preserve"> </w:t>
      </w:r>
      <w:r w:rsidRPr="00C02CF0">
        <w:rPr>
          <w:rFonts w:ascii="Garamond" w:hAnsi="Garamond"/>
          <w:sz w:val="22"/>
        </w:rPr>
        <w:t>One of the lessons of economics about innovation is that it tends to come from new firms entering a market rather than existing firms</w:t>
      </w:r>
      <w:r w:rsidR="009034D0">
        <w:rPr>
          <w:rFonts w:ascii="Garamond" w:hAnsi="Garamond"/>
          <w:sz w:val="22"/>
        </w:rPr>
        <w:t>.</w:t>
      </w:r>
      <w:r w:rsidR="00FA59F4" w:rsidRPr="00C02CF0">
        <w:rPr>
          <w:rStyle w:val="FootnoteReference"/>
          <w:rFonts w:ascii="Garamond" w:hAnsi="Garamond"/>
          <w:sz w:val="22"/>
        </w:rPr>
        <w:footnoteReference w:id="6"/>
      </w:r>
      <w:r w:rsidRPr="00C02CF0">
        <w:rPr>
          <w:rFonts w:ascii="Garamond" w:hAnsi="Garamond"/>
          <w:sz w:val="22"/>
        </w:rPr>
        <w:t xml:space="preserve"> Depending on the structure of the market</w:t>
      </w:r>
      <w:r w:rsidR="0058288B" w:rsidRPr="00C02CF0">
        <w:rPr>
          <w:rFonts w:ascii="Garamond" w:hAnsi="Garamond"/>
          <w:sz w:val="22"/>
        </w:rPr>
        <w:t>,</w:t>
      </w:r>
      <w:r w:rsidRPr="00C02CF0">
        <w:rPr>
          <w:rFonts w:ascii="Garamond" w:hAnsi="Garamond"/>
          <w:sz w:val="22"/>
        </w:rPr>
        <w:t xml:space="preserve"> innovation will spread to the incumbent firms, with some incumbe</w:t>
      </w:r>
      <w:r w:rsidR="0058288B" w:rsidRPr="00C02CF0">
        <w:rPr>
          <w:rFonts w:ascii="Garamond" w:hAnsi="Garamond"/>
          <w:sz w:val="22"/>
        </w:rPr>
        <w:t>nt firms who fail to adapt exi</w:t>
      </w:r>
      <w:r w:rsidRPr="00C02CF0">
        <w:rPr>
          <w:rFonts w:ascii="Garamond" w:hAnsi="Garamond"/>
          <w:sz w:val="22"/>
        </w:rPr>
        <w:t>ting the market.</w:t>
      </w:r>
      <w:r w:rsidR="00F36982" w:rsidRPr="00C02CF0">
        <w:rPr>
          <w:rFonts w:ascii="Garamond" w:hAnsi="Garamond"/>
          <w:sz w:val="22"/>
        </w:rPr>
        <w:t xml:space="preserve"> </w:t>
      </w:r>
      <w:r w:rsidRPr="00C02CF0">
        <w:rPr>
          <w:rFonts w:ascii="Garamond" w:hAnsi="Garamond"/>
          <w:sz w:val="22"/>
        </w:rPr>
        <w:t>The lack of possibility of entry does not bode well for innovation in higher education in Australia.</w:t>
      </w:r>
    </w:p>
    <w:p w14:paraId="2EE66DBD" w14:textId="6D361D5F" w:rsidR="0070772F" w:rsidRPr="00C02CF0" w:rsidRDefault="0070772F" w:rsidP="00891385">
      <w:pPr>
        <w:rPr>
          <w:rFonts w:ascii="Garamond" w:hAnsi="Garamond"/>
          <w:sz w:val="22"/>
        </w:rPr>
      </w:pPr>
      <w:r w:rsidRPr="00C02CF0">
        <w:rPr>
          <w:rFonts w:ascii="Garamond" w:hAnsi="Garamond"/>
          <w:sz w:val="22"/>
        </w:rPr>
        <w:t xml:space="preserve">As well as </w:t>
      </w:r>
      <w:r w:rsidRPr="00934728">
        <w:rPr>
          <w:rFonts w:ascii="Garamond" w:hAnsi="Garamond"/>
          <w:sz w:val="22"/>
        </w:rPr>
        <w:t xml:space="preserve">organisation innovation in higher education </w:t>
      </w:r>
      <w:r w:rsidRPr="00C02CF0">
        <w:rPr>
          <w:rFonts w:ascii="Garamond" w:hAnsi="Garamond"/>
          <w:sz w:val="22"/>
        </w:rPr>
        <w:t>there is also the question of whether large bureaucratic and mostly comfortable institutions are a good environment for generating the innovation and collaboration with industry that Australia needs.</w:t>
      </w:r>
    </w:p>
    <w:p w14:paraId="590CBFA7" w14:textId="43C49F41" w:rsidR="00A06FCF" w:rsidRPr="00C02CF0" w:rsidRDefault="0070772F" w:rsidP="00891385">
      <w:pPr>
        <w:rPr>
          <w:rFonts w:ascii="Garamond" w:hAnsi="Garamond"/>
          <w:sz w:val="22"/>
        </w:rPr>
      </w:pPr>
      <w:r w:rsidRPr="00C02CF0">
        <w:rPr>
          <w:rFonts w:ascii="Garamond" w:hAnsi="Garamond"/>
          <w:sz w:val="22"/>
        </w:rPr>
        <w:t xml:space="preserve">The potential for </w:t>
      </w:r>
      <w:r w:rsidR="00075CF8" w:rsidRPr="00C02CF0">
        <w:rPr>
          <w:rFonts w:ascii="Garamond" w:hAnsi="Garamond"/>
          <w:sz w:val="22"/>
        </w:rPr>
        <w:t xml:space="preserve">organisational and product innovation in </w:t>
      </w:r>
      <w:r w:rsidR="00E266CC" w:rsidRPr="00C02CF0">
        <w:rPr>
          <w:rFonts w:ascii="Garamond" w:hAnsi="Garamond"/>
          <w:sz w:val="22"/>
        </w:rPr>
        <w:t xml:space="preserve">a </w:t>
      </w:r>
      <w:r w:rsidR="008800AB" w:rsidRPr="00C02CF0">
        <w:rPr>
          <w:rFonts w:ascii="Garamond" w:hAnsi="Garamond"/>
          <w:sz w:val="22"/>
        </w:rPr>
        <w:t xml:space="preserve">moribund </w:t>
      </w:r>
      <w:r w:rsidR="00075CF8" w:rsidRPr="00C02CF0">
        <w:rPr>
          <w:rFonts w:ascii="Garamond" w:hAnsi="Garamond"/>
          <w:sz w:val="22"/>
        </w:rPr>
        <w:t>industry is nicely illustrated by the recent history of the religion industry in Australia</w:t>
      </w:r>
      <w:r w:rsidR="009034D0">
        <w:rPr>
          <w:rFonts w:ascii="Garamond" w:hAnsi="Garamond"/>
          <w:sz w:val="22"/>
        </w:rPr>
        <w:t>.</w:t>
      </w:r>
      <w:r w:rsidR="00402139" w:rsidRPr="00C02CF0">
        <w:rPr>
          <w:rStyle w:val="FootnoteReference"/>
          <w:rFonts w:ascii="Garamond" w:hAnsi="Garamond"/>
          <w:sz w:val="22"/>
        </w:rPr>
        <w:footnoteReference w:id="7"/>
      </w:r>
      <w:r w:rsidR="00F36982" w:rsidRPr="00C02CF0">
        <w:rPr>
          <w:rFonts w:ascii="Garamond" w:hAnsi="Garamond"/>
          <w:sz w:val="22"/>
        </w:rPr>
        <w:t xml:space="preserve"> </w:t>
      </w:r>
      <w:r w:rsidR="00075CF8" w:rsidRPr="00C02CF0">
        <w:rPr>
          <w:rFonts w:ascii="Garamond" w:hAnsi="Garamond"/>
          <w:sz w:val="22"/>
        </w:rPr>
        <w:t xml:space="preserve">It was a market dominated by a few large longstanding </w:t>
      </w:r>
      <w:r w:rsidR="001E41B7" w:rsidRPr="00C02CF0">
        <w:rPr>
          <w:rFonts w:ascii="Garamond" w:hAnsi="Garamond"/>
          <w:sz w:val="22"/>
        </w:rPr>
        <w:t xml:space="preserve">organisations </w:t>
      </w:r>
      <w:r w:rsidR="00075CF8" w:rsidRPr="00C02CF0">
        <w:rPr>
          <w:rFonts w:ascii="Garamond" w:hAnsi="Garamond"/>
          <w:sz w:val="22"/>
        </w:rPr>
        <w:t>(</w:t>
      </w:r>
      <w:r w:rsidR="00043A22" w:rsidRPr="00C02CF0">
        <w:rPr>
          <w:rFonts w:ascii="Garamond" w:hAnsi="Garamond"/>
          <w:sz w:val="22"/>
        </w:rPr>
        <w:t xml:space="preserve">the </w:t>
      </w:r>
      <w:r w:rsidR="00075CF8" w:rsidRPr="00C02CF0">
        <w:rPr>
          <w:rFonts w:ascii="Garamond" w:hAnsi="Garamond"/>
          <w:sz w:val="22"/>
        </w:rPr>
        <w:t xml:space="preserve">Anglican, Catholic, Methodist, </w:t>
      </w:r>
      <w:r w:rsidR="00043A22" w:rsidRPr="00C02CF0">
        <w:rPr>
          <w:rFonts w:ascii="Garamond" w:hAnsi="Garamond"/>
          <w:sz w:val="22"/>
        </w:rPr>
        <w:t xml:space="preserve">and </w:t>
      </w:r>
      <w:r w:rsidR="00075CF8" w:rsidRPr="00C02CF0">
        <w:rPr>
          <w:rFonts w:ascii="Garamond" w:hAnsi="Garamond"/>
          <w:sz w:val="22"/>
        </w:rPr>
        <w:t>Presbyterian</w:t>
      </w:r>
      <w:r w:rsidR="00043A22" w:rsidRPr="00C02CF0">
        <w:rPr>
          <w:rFonts w:ascii="Garamond" w:hAnsi="Garamond"/>
          <w:sz w:val="22"/>
        </w:rPr>
        <w:t xml:space="preserve"> churches</w:t>
      </w:r>
      <w:r w:rsidR="00075CF8" w:rsidRPr="00C02CF0">
        <w:rPr>
          <w:rFonts w:ascii="Garamond" w:hAnsi="Garamond"/>
          <w:sz w:val="22"/>
        </w:rPr>
        <w:t>)</w:t>
      </w:r>
      <w:r w:rsidR="00D21F5A">
        <w:rPr>
          <w:rFonts w:ascii="Garamond" w:hAnsi="Garamond"/>
          <w:sz w:val="22"/>
        </w:rPr>
        <w:t>,</w:t>
      </w:r>
      <w:r w:rsidR="00075CF8" w:rsidRPr="00C02CF0">
        <w:rPr>
          <w:rFonts w:ascii="Garamond" w:hAnsi="Garamond"/>
          <w:sz w:val="22"/>
        </w:rPr>
        <w:t xml:space="preserve"> </w:t>
      </w:r>
      <w:r w:rsidR="00043A22" w:rsidRPr="00C02CF0">
        <w:rPr>
          <w:rFonts w:ascii="Garamond" w:hAnsi="Garamond"/>
          <w:sz w:val="22"/>
        </w:rPr>
        <w:t>which were being abandoned by their</w:t>
      </w:r>
      <w:r w:rsidR="00075CF8" w:rsidRPr="00C02CF0">
        <w:rPr>
          <w:rFonts w:ascii="Garamond" w:hAnsi="Garamond"/>
          <w:sz w:val="22"/>
        </w:rPr>
        <w:t xml:space="preserve"> customers from the 1970s.</w:t>
      </w:r>
      <w:r w:rsidR="009034D0">
        <w:rPr>
          <w:rFonts w:ascii="Garamond" w:hAnsi="Garamond"/>
          <w:sz w:val="22"/>
        </w:rPr>
        <w:t xml:space="preserve"> </w:t>
      </w:r>
      <w:r w:rsidR="00075CF8" w:rsidRPr="00C02CF0">
        <w:rPr>
          <w:rFonts w:ascii="Garamond" w:hAnsi="Garamond"/>
          <w:sz w:val="22"/>
        </w:rPr>
        <w:t xml:space="preserve">Then along came a </w:t>
      </w:r>
      <w:r w:rsidR="000713AA" w:rsidRPr="00C02CF0">
        <w:rPr>
          <w:rFonts w:ascii="Garamond" w:hAnsi="Garamond"/>
          <w:sz w:val="22"/>
        </w:rPr>
        <w:t xml:space="preserve">new </w:t>
      </w:r>
      <w:r w:rsidR="008800AB" w:rsidRPr="00C02CF0">
        <w:rPr>
          <w:rFonts w:ascii="Garamond" w:hAnsi="Garamond"/>
          <w:sz w:val="22"/>
        </w:rPr>
        <w:t>entr</w:t>
      </w:r>
      <w:r w:rsidR="000713AA" w:rsidRPr="00C02CF0">
        <w:rPr>
          <w:rFonts w:ascii="Garamond" w:hAnsi="Garamond"/>
          <w:sz w:val="22"/>
        </w:rPr>
        <w:t>ant</w:t>
      </w:r>
      <w:r w:rsidR="00D21F5A">
        <w:rPr>
          <w:rFonts w:ascii="Garamond" w:hAnsi="Garamond"/>
          <w:sz w:val="22"/>
        </w:rPr>
        <w:t>,</w:t>
      </w:r>
      <w:r w:rsidR="000713AA" w:rsidRPr="00C02CF0">
        <w:rPr>
          <w:rFonts w:ascii="Garamond" w:hAnsi="Garamond"/>
          <w:sz w:val="22"/>
        </w:rPr>
        <w:t xml:space="preserve"> </w:t>
      </w:r>
      <w:r w:rsidR="001E41B7" w:rsidRPr="00C02CF0">
        <w:rPr>
          <w:rFonts w:ascii="Garamond" w:hAnsi="Garamond"/>
          <w:sz w:val="22"/>
        </w:rPr>
        <w:t>Pentecostalism</w:t>
      </w:r>
      <w:r w:rsidR="00D21F5A">
        <w:rPr>
          <w:rFonts w:ascii="Garamond" w:hAnsi="Garamond"/>
          <w:sz w:val="22"/>
        </w:rPr>
        <w:t>,</w:t>
      </w:r>
      <w:r w:rsidR="001E41B7" w:rsidRPr="00C02CF0">
        <w:rPr>
          <w:rFonts w:ascii="Garamond" w:hAnsi="Garamond"/>
          <w:sz w:val="22"/>
        </w:rPr>
        <w:t xml:space="preserve"> </w:t>
      </w:r>
      <w:r w:rsidR="000713AA" w:rsidRPr="00C02CF0">
        <w:rPr>
          <w:rFonts w:ascii="Garamond" w:hAnsi="Garamond"/>
          <w:sz w:val="22"/>
        </w:rPr>
        <w:t xml:space="preserve">with a radically different </w:t>
      </w:r>
      <w:r w:rsidR="004C321D" w:rsidRPr="00C02CF0">
        <w:rPr>
          <w:rFonts w:ascii="Garamond" w:hAnsi="Garamond"/>
          <w:sz w:val="22"/>
        </w:rPr>
        <w:t>organisational</w:t>
      </w:r>
      <w:r w:rsidR="000713AA" w:rsidRPr="00C02CF0">
        <w:rPr>
          <w:rFonts w:ascii="Garamond" w:hAnsi="Garamond"/>
          <w:sz w:val="22"/>
        </w:rPr>
        <w:t xml:space="preserve"> structure and leadership style, offering a product much more appealing to cotemporary Australians. </w:t>
      </w:r>
      <w:r w:rsidR="001E41B7" w:rsidRPr="00C02CF0">
        <w:rPr>
          <w:rFonts w:ascii="Garamond" w:hAnsi="Garamond"/>
          <w:sz w:val="22"/>
        </w:rPr>
        <w:t>Interestingly</w:t>
      </w:r>
      <w:r w:rsidR="00934728">
        <w:rPr>
          <w:rFonts w:ascii="Garamond" w:hAnsi="Garamond"/>
          <w:sz w:val="22"/>
        </w:rPr>
        <w:t>,</w:t>
      </w:r>
      <w:r w:rsidR="000713AA" w:rsidRPr="00C02CF0">
        <w:rPr>
          <w:rFonts w:ascii="Garamond" w:hAnsi="Garamond"/>
          <w:sz w:val="22"/>
        </w:rPr>
        <w:t xml:space="preserve"> the two largest Pentecostal churches Hillsong and C3 were started </w:t>
      </w:r>
      <w:r w:rsidR="001E41B7" w:rsidRPr="00C02CF0">
        <w:rPr>
          <w:rFonts w:ascii="Garamond" w:hAnsi="Garamond"/>
          <w:sz w:val="22"/>
        </w:rPr>
        <w:t xml:space="preserve">in Sydney </w:t>
      </w:r>
      <w:r w:rsidR="000713AA" w:rsidRPr="00C02CF0">
        <w:rPr>
          <w:rFonts w:ascii="Garamond" w:hAnsi="Garamond"/>
          <w:sz w:val="22"/>
        </w:rPr>
        <w:t xml:space="preserve">by </w:t>
      </w:r>
      <w:r w:rsidR="001E41B7" w:rsidRPr="00C02CF0">
        <w:rPr>
          <w:rFonts w:ascii="Garamond" w:hAnsi="Garamond"/>
          <w:sz w:val="22"/>
        </w:rPr>
        <w:t xml:space="preserve">immigrant New Zealanders, outsiders who saw the possibilities more clearly than any of the executives of the incumbent </w:t>
      </w:r>
      <w:r w:rsidR="004C321D" w:rsidRPr="00C02CF0">
        <w:rPr>
          <w:rFonts w:ascii="Garamond" w:hAnsi="Garamond"/>
          <w:sz w:val="22"/>
        </w:rPr>
        <w:t>organisations</w:t>
      </w:r>
      <w:r w:rsidR="001E41B7" w:rsidRPr="00C02CF0">
        <w:rPr>
          <w:rFonts w:ascii="Garamond" w:hAnsi="Garamond"/>
          <w:sz w:val="22"/>
        </w:rPr>
        <w:t>. The Pentecostal movement has now passed the Anglicans to be the second largest Australian religious group meas</w:t>
      </w:r>
      <w:r w:rsidR="00043A22" w:rsidRPr="00C02CF0">
        <w:rPr>
          <w:rFonts w:ascii="Garamond" w:hAnsi="Garamond"/>
          <w:sz w:val="22"/>
        </w:rPr>
        <w:t>ured by attendance, behind the C</w:t>
      </w:r>
      <w:r w:rsidR="001E41B7" w:rsidRPr="00C02CF0">
        <w:rPr>
          <w:rFonts w:ascii="Garamond" w:hAnsi="Garamond"/>
          <w:sz w:val="22"/>
        </w:rPr>
        <w:t>atholic</w:t>
      </w:r>
      <w:r w:rsidR="00043A22" w:rsidRPr="00C02CF0">
        <w:rPr>
          <w:rFonts w:ascii="Garamond" w:hAnsi="Garamond"/>
          <w:sz w:val="22"/>
        </w:rPr>
        <w:t>s</w:t>
      </w:r>
      <w:r w:rsidR="001E41B7" w:rsidRPr="00C02CF0">
        <w:rPr>
          <w:rFonts w:ascii="Garamond" w:hAnsi="Garamond"/>
          <w:sz w:val="22"/>
        </w:rPr>
        <w:t xml:space="preserve"> whose numbers have been held up in recent</w:t>
      </w:r>
      <w:r w:rsidR="00F36982" w:rsidRPr="00C02CF0">
        <w:rPr>
          <w:rFonts w:ascii="Garamond" w:hAnsi="Garamond"/>
          <w:sz w:val="22"/>
        </w:rPr>
        <w:t xml:space="preserve"> </w:t>
      </w:r>
      <w:r w:rsidR="001E41B7" w:rsidRPr="00C02CF0">
        <w:rPr>
          <w:rFonts w:ascii="Garamond" w:hAnsi="Garamond"/>
          <w:sz w:val="22"/>
        </w:rPr>
        <w:t>decades by large migration inflows</w:t>
      </w:r>
      <w:r w:rsidR="009034D0">
        <w:rPr>
          <w:rFonts w:ascii="Garamond" w:hAnsi="Garamond"/>
          <w:sz w:val="22"/>
        </w:rPr>
        <w:t>.</w:t>
      </w:r>
      <w:r w:rsidR="00043A22" w:rsidRPr="00C02CF0">
        <w:rPr>
          <w:rStyle w:val="FootnoteReference"/>
          <w:rFonts w:ascii="Garamond" w:hAnsi="Garamond"/>
          <w:sz w:val="22"/>
        </w:rPr>
        <w:footnoteReference w:id="8"/>
      </w:r>
      <w:r w:rsidR="001E41B7" w:rsidRPr="00C02CF0">
        <w:rPr>
          <w:rFonts w:ascii="Garamond" w:hAnsi="Garamond"/>
          <w:sz w:val="22"/>
        </w:rPr>
        <w:t xml:space="preserve"> The story of the innovation and growth at Hillsong is told by </w:t>
      </w:r>
      <w:r w:rsidR="000713AA" w:rsidRPr="00C02CF0">
        <w:rPr>
          <w:rFonts w:ascii="Garamond" w:hAnsi="Garamond" w:cs="Times New Roman"/>
          <w:sz w:val="22"/>
        </w:rPr>
        <w:t>Riches and Wagner (2018</w:t>
      </w:r>
      <w:r w:rsidR="00402139" w:rsidRPr="00C02CF0">
        <w:rPr>
          <w:rFonts w:ascii="Garamond" w:hAnsi="Garamond" w:cs="Times New Roman"/>
          <w:sz w:val="22"/>
        </w:rPr>
        <w:t>)</w:t>
      </w:r>
      <w:r w:rsidR="00D21F5A">
        <w:rPr>
          <w:rFonts w:ascii="Garamond" w:hAnsi="Garamond" w:cs="Times New Roman"/>
          <w:sz w:val="22"/>
        </w:rPr>
        <w:t>,</w:t>
      </w:r>
      <w:r w:rsidR="00402139" w:rsidRPr="00C02CF0">
        <w:rPr>
          <w:rFonts w:ascii="Garamond" w:hAnsi="Garamond" w:cs="Times New Roman"/>
          <w:sz w:val="22"/>
        </w:rPr>
        <w:t xml:space="preserve"> and I have offered some reflections on the reasons for the growth of the movement in Oslington (</w:t>
      </w:r>
      <w:r w:rsidR="008624C2" w:rsidRPr="00C02CF0">
        <w:rPr>
          <w:rFonts w:ascii="Garamond" w:hAnsi="Garamond" w:cs="Times New Roman"/>
          <w:sz w:val="22"/>
        </w:rPr>
        <w:t>2016), including the role of Alphacrucis</w:t>
      </w:r>
      <w:r w:rsidR="00D21F5A">
        <w:rPr>
          <w:rFonts w:ascii="Garamond" w:hAnsi="Garamond" w:cs="Times New Roman"/>
          <w:sz w:val="22"/>
        </w:rPr>
        <w:t>,</w:t>
      </w:r>
      <w:r w:rsidR="008624C2" w:rsidRPr="00C02CF0">
        <w:rPr>
          <w:rFonts w:ascii="Garamond" w:hAnsi="Garamond" w:cs="Times New Roman"/>
          <w:sz w:val="22"/>
        </w:rPr>
        <w:t xml:space="preserve"> the national college of the movement.</w:t>
      </w:r>
    </w:p>
    <w:p w14:paraId="6FB6DAE6" w14:textId="4D8F19A8" w:rsidR="0072109C" w:rsidRPr="00281739" w:rsidRDefault="006A3BCC" w:rsidP="00891385">
      <w:pPr>
        <w:rPr>
          <w:rFonts w:ascii="Garamond" w:hAnsi="Garamond"/>
          <w:sz w:val="22"/>
        </w:rPr>
      </w:pPr>
      <w:r w:rsidRPr="00C02CF0">
        <w:rPr>
          <w:rFonts w:ascii="Garamond" w:hAnsi="Garamond"/>
          <w:b/>
          <w:sz w:val="22"/>
        </w:rPr>
        <w:t>Rent seeking.</w:t>
      </w:r>
      <w:r w:rsidR="009034D0" w:rsidRPr="00AA5E65">
        <w:rPr>
          <w:rFonts w:ascii="Garamond" w:hAnsi="Garamond"/>
          <w:sz w:val="22"/>
        </w:rPr>
        <w:t xml:space="preserve"> </w:t>
      </w:r>
      <w:r w:rsidR="0058288B" w:rsidRPr="00AA5E65">
        <w:rPr>
          <w:rFonts w:ascii="Garamond" w:hAnsi="Garamond"/>
          <w:sz w:val="22"/>
        </w:rPr>
        <w:t>In a p</w:t>
      </w:r>
      <w:r w:rsidRPr="00AA5E65">
        <w:rPr>
          <w:rFonts w:ascii="Garamond" w:hAnsi="Garamond"/>
          <w:sz w:val="22"/>
        </w:rPr>
        <w:t>rotected market, especially one where large government subsidies are on offer, r</w:t>
      </w:r>
      <w:r w:rsidR="0072109C" w:rsidRPr="00AA5E65">
        <w:rPr>
          <w:rFonts w:ascii="Garamond" w:hAnsi="Garamond"/>
          <w:sz w:val="22"/>
        </w:rPr>
        <w:t>ent seeking</w:t>
      </w:r>
      <w:r w:rsidRPr="00AA5E65">
        <w:rPr>
          <w:rFonts w:ascii="Garamond" w:hAnsi="Garamond"/>
          <w:sz w:val="22"/>
        </w:rPr>
        <w:t xml:space="preserve"> is likely to be</w:t>
      </w:r>
      <w:r w:rsidR="0072109C" w:rsidRPr="00AA5E65">
        <w:rPr>
          <w:rFonts w:ascii="Garamond" w:hAnsi="Garamond"/>
          <w:sz w:val="22"/>
        </w:rPr>
        <w:t xml:space="preserve"> much more lucrative for university administrators than efforts to innovate or improve the quality of teaching and research.</w:t>
      </w:r>
      <w:r w:rsidR="009034D0">
        <w:rPr>
          <w:rFonts w:ascii="Garamond" w:hAnsi="Garamond"/>
          <w:sz w:val="22"/>
        </w:rPr>
        <w:t xml:space="preserve"> </w:t>
      </w:r>
      <w:r w:rsidRPr="00AA5E65">
        <w:rPr>
          <w:rFonts w:ascii="Garamond" w:hAnsi="Garamond"/>
          <w:sz w:val="22"/>
        </w:rPr>
        <w:t xml:space="preserve">Rents can be taken by </w:t>
      </w:r>
      <w:r w:rsidR="0058288B" w:rsidRPr="00AA5E65">
        <w:rPr>
          <w:rFonts w:ascii="Garamond" w:hAnsi="Garamond"/>
          <w:sz w:val="22"/>
        </w:rPr>
        <w:t>administ</w:t>
      </w:r>
      <w:r w:rsidR="00D21F5A">
        <w:rPr>
          <w:rFonts w:ascii="Garamond" w:hAnsi="Garamond"/>
          <w:sz w:val="22"/>
        </w:rPr>
        <w:t>rators</w:t>
      </w:r>
      <w:r w:rsidRPr="00AA5E65">
        <w:rPr>
          <w:rFonts w:ascii="Garamond" w:hAnsi="Garamond"/>
          <w:sz w:val="22"/>
        </w:rPr>
        <w:t xml:space="preserve"> as high salaries, perks, large administrative entourages, or some combination of these.</w:t>
      </w:r>
      <w:r w:rsidR="00F36982" w:rsidRPr="00AA5E65">
        <w:rPr>
          <w:rFonts w:ascii="Garamond" w:hAnsi="Garamond"/>
          <w:sz w:val="22"/>
        </w:rPr>
        <w:t xml:space="preserve"> </w:t>
      </w:r>
      <w:r w:rsidRPr="00AA5E65">
        <w:rPr>
          <w:rFonts w:ascii="Garamond" w:hAnsi="Garamond"/>
          <w:sz w:val="22"/>
        </w:rPr>
        <w:t xml:space="preserve">And it certainly looks like there is no shortage of </w:t>
      </w:r>
      <w:r w:rsidR="00D21F5A" w:rsidRPr="00AB2247">
        <w:rPr>
          <w:rFonts w:ascii="Garamond" w:hAnsi="Garamond"/>
          <w:sz w:val="22"/>
        </w:rPr>
        <w:t>takers</w:t>
      </w:r>
      <w:r w:rsidR="00D21F5A" w:rsidRPr="00281739">
        <w:rPr>
          <w:rFonts w:ascii="Garamond" w:hAnsi="Garamond"/>
          <w:color w:val="FF0000"/>
          <w:sz w:val="22"/>
        </w:rPr>
        <w:t xml:space="preserve"> </w:t>
      </w:r>
      <w:r w:rsidRPr="00281739">
        <w:rPr>
          <w:rFonts w:ascii="Garamond" w:hAnsi="Garamond"/>
          <w:sz w:val="22"/>
        </w:rPr>
        <w:t>in contemporary Australian universities.</w:t>
      </w:r>
    </w:p>
    <w:p w14:paraId="62366D90" w14:textId="4718A13E" w:rsidR="00A06FCF" w:rsidRPr="00281739" w:rsidRDefault="00A06FCF" w:rsidP="00891385">
      <w:pPr>
        <w:rPr>
          <w:rFonts w:ascii="Garamond" w:hAnsi="Garamond"/>
          <w:sz w:val="22"/>
        </w:rPr>
      </w:pPr>
      <w:r w:rsidRPr="00281739">
        <w:rPr>
          <w:rFonts w:ascii="Garamond" w:hAnsi="Garamond"/>
          <w:b/>
          <w:sz w:val="22"/>
        </w:rPr>
        <w:lastRenderedPageBreak/>
        <w:t>Unionisation</w:t>
      </w:r>
      <w:r w:rsidRPr="003942B4">
        <w:rPr>
          <w:rFonts w:ascii="Garamond" w:hAnsi="Garamond"/>
          <w:b/>
          <w:sz w:val="22"/>
        </w:rPr>
        <w:t>.</w:t>
      </w:r>
      <w:r w:rsidR="00F36982" w:rsidRPr="00281739">
        <w:rPr>
          <w:rFonts w:ascii="Garamond" w:hAnsi="Garamond"/>
          <w:sz w:val="22"/>
        </w:rPr>
        <w:t xml:space="preserve"> </w:t>
      </w:r>
      <w:r w:rsidR="006A3BCC" w:rsidRPr="00281739">
        <w:rPr>
          <w:rFonts w:ascii="Garamond" w:hAnsi="Garamond"/>
          <w:sz w:val="22"/>
        </w:rPr>
        <w:t xml:space="preserve">One of the curious features of the </w:t>
      </w:r>
      <w:r w:rsidR="009338F3" w:rsidRPr="00281739">
        <w:rPr>
          <w:rFonts w:ascii="Garamond" w:hAnsi="Garamond"/>
          <w:sz w:val="22"/>
        </w:rPr>
        <w:t>Australian</w:t>
      </w:r>
      <w:r w:rsidR="006A3BCC" w:rsidRPr="00281739">
        <w:rPr>
          <w:rFonts w:ascii="Garamond" w:hAnsi="Garamond"/>
          <w:sz w:val="22"/>
        </w:rPr>
        <w:t xml:space="preserve"> higher </w:t>
      </w:r>
      <w:r w:rsidR="009338F3" w:rsidRPr="00281739">
        <w:rPr>
          <w:rFonts w:ascii="Garamond" w:hAnsi="Garamond"/>
          <w:sz w:val="22"/>
        </w:rPr>
        <w:t>education</w:t>
      </w:r>
      <w:r w:rsidR="006A3BCC" w:rsidRPr="00281739">
        <w:rPr>
          <w:rFonts w:ascii="Garamond" w:hAnsi="Garamond"/>
          <w:sz w:val="22"/>
        </w:rPr>
        <w:t xml:space="preserve"> system is </w:t>
      </w:r>
      <w:r w:rsidR="00043A22" w:rsidRPr="00281739">
        <w:rPr>
          <w:rFonts w:ascii="Garamond" w:hAnsi="Garamond"/>
          <w:sz w:val="22"/>
        </w:rPr>
        <w:t xml:space="preserve">that </w:t>
      </w:r>
      <w:r w:rsidR="006A3BCC" w:rsidRPr="00281739">
        <w:rPr>
          <w:rFonts w:ascii="Garamond" w:hAnsi="Garamond"/>
          <w:sz w:val="22"/>
        </w:rPr>
        <w:t>all universities have e</w:t>
      </w:r>
      <w:r w:rsidRPr="00281739">
        <w:rPr>
          <w:rFonts w:ascii="Garamond" w:hAnsi="Garamond"/>
          <w:sz w:val="22"/>
        </w:rPr>
        <w:t>nterprise agreements</w:t>
      </w:r>
      <w:r w:rsidR="006A3BCC" w:rsidRPr="00281739">
        <w:rPr>
          <w:rFonts w:ascii="Garamond" w:hAnsi="Garamond"/>
          <w:sz w:val="22"/>
        </w:rPr>
        <w:t xml:space="preserve"> with the academic union.</w:t>
      </w:r>
      <w:r w:rsidR="00F36982" w:rsidRPr="00281739">
        <w:rPr>
          <w:rFonts w:ascii="Garamond" w:hAnsi="Garamond"/>
          <w:sz w:val="22"/>
        </w:rPr>
        <w:t xml:space="preserve"> </w:t>
      </w:r>
      <w:r w:rsidR="006A3BCC" w:rsidRPr="00281739">
        <w:rPr>
          <w:rFonts w:ascii="Garamond" w:hAnsi="Garamond"/>
          <w:sz w:val="22"/>
        </w:rPr>
        <w:t>The union enjoys a</w:t>
      </w:r>
      <w:r w:rsidR="004812F1">
        <w:rPr>
          <w:rFonts w:ascii="Garamond" w:hAnsi="Garamond"/>
          <w:sz w:val="22"/>
        </w:rPr>
        <w:t xml:space="preserve"> </w:t>
      </w:r>
      <w:r w:rsidR="00043A22" w:rsidRPr="00281739">
        <w:rPr>
          <w:rFonts w:ascii="Garamond" w:hAnsi="Garamond"/>
          <w:sz w:val="22"/>
        </w:rPr>
        <w:t xml:space="preserve">legislatively enforced </w:t>
      </w:r>
      <w:r w:rsidR="006A3BCC" w:rsidRPr="00281739">
        <w:rPr>
          <w:rFonts w:ascii="Garamond" w:hAnsi="Garamond"/>
          <w:sz w:val="22"/>
        </w:rPr>
        <w:t xml:space="preserve">monopoly position in </w:t>
      </w:r>
      <w:r w:rsidR="00043A22" w:rsidRPr="00281739">
        <w:rPr>
          <w:rFonts w:ascii="Garamond" w:hAnsi="Garamond"/>
          <w:sz w:val="22"/>
        </w:rPr>
        <w:t xml:space="preserve">Australian </w:t>
      </w:r>
      <w:r w:rsidR="006A3BCC" w:rsidRPr="00281739">
        <w:rPr>
          <w:rFonts w:ascii="Garamond" w:hAnsi="Garamond"/>
          <w:sz w:val="22"/>
        </w:rPr>
        <w:t>higher education.</w:t>
      </w:r>
      <w:r w:rsidR="00F36982" w:rsidRPr="00281739">
        <w:rPr>
          <w:rFonts w:ascii="Garamond" w:hAnsi="Garamond"/>
          <w:sz w:val="22"/>
        </w:rPr>
        <w:t xml:space="preserve"> </w:t>
      </w:r>
      <w:r w:rsidR="006A3BCC" w:rsidRPr="00281739">
        <w:rPr>
          <w:rFonts w:ascii="Garamond" w:hAnsi="Garamond"/>
          <w:sz w:val="22"/>
        </w:rPr>
        <w:t xml:space="preserve">Academics </w:t>
      </w:r>
      <w:r w:rsidR="007F75C2" w:rsidRPr="00281739">
        <w:rPr>
          <w:rFonts w:ascii="Garamond" w:hAnsi="Garamond"/>
          <w:sz w:val="22"/>
        </w:rPr>
        <w:t>may cho</w:t>
      </w:r>
      <w:r w:rsidR="0058288B" w:rsidRPr="00281739">
        <w:rPr>
          <w:rFonts w:ascii="Garamond" w:hAnsi="Garamond"/>
          <w:sz w:val="22"/>
        </w:rPr>
        <w:t>o</w:t>
      </w:r>
      <w:r w:rsidR="007F75C2" w:rsidRPr="00281739">
        <w:rPr>
          <w:rFonts w:ascii="Garamond" w:hAnsi="Garamond"/>
          <w:sz w:val="22"/>
        </w:rPr>
        <w:t>se to join (and around 20% do) but regardless of whet</w:t>
      </w:r>
      <w:r w:rsidR="009338F3" w:rsidRPr="00281739">
        <w:rPr>
          <w:rFonts w:ascii="Garamond" w:hAnsi="Garamond"/>
          <w:sz w:val="22"/>
        </w:rPr>
        <w:t>h</w:t>
      </w:r>
      <w:r w:rsidR="007F75C2" w:rsidRPr="00281739">
        <w:rPr>
          <w:rFonts w:ascii="Garamond" w:hAnsi="Garamond"/>
          <w:sz w:val="22"/>
        </w:rPr>
        <w:t xml:space="preserve">er they </w:t>
      </w:r>
      <w:r w:rsidR="009338F3" w:rsidRPr="00281739">
        <w:rPr>
          <w:rFonts w:ascii="Garamond" w:hAnsi="Garamond"/>
          <w:sz w:val="22"/>
        </w:rPr>
        <w:t xml:space="preserve">join </w:t>
      </w:r>
      <w:r w:rsidR="007F75C2" w:rsidRPr="00281739">
        <w:rPr>
          <w:rFonts w:ascii="Garamond" w:hAnsi="Garamond"/>
          <w:sz w:val="22"/>
        </w:rPr>
        <w:t>or not</w:t>
      </w:r>
      <w:r w:rsidR="004812F1">
        <w:rPr>
          <w:rFonts w:ascii="Garamond" w:hAnsi="Garamond"/>
          <w:sz w:val="22"/>
        </w:rPr>
        <w:t>,</w:t>
      </w:r>
      <w:r w:rsidR="007F75C2" w:rsidRPr="00281739">
        <w:rPr>
          <w:rFonts w:ascii="Garamond" w:hAnsi="Garamond"/>
          <w:sz w:val="22"/>
        </w:rPr>
        <w:t xml:space="preserve"> the union negotiate</w:t>
      </w:r>
      <w:r w:rsidR="00934728">
        <w:rPr>
          <w:rFonts w:ascii="Garamond" w:hAnsi="Garamond"/>
          <w:sz w:val="22"/>
        </w:rPr>
        <w:t>s</w:t>
      </w:r>
      <w:r w:rsidR="007F75C2" w:rsidRPr="00281739">
        <w:rPr>
          <w:rFonts w:ascii="Garamond" w:hAnsi="Garamond"/>
          <w:sz w:val="22"/>
        </w:rPr>
        <w:t xml:space="preserve"> pay and conditions for everyone who works at the university.</w:t>
      </w:r>
      <w:r w:rsidR="00F36982" w:rsidRPr="00281739">
        <w:rPr>
          <w:rFonts w:ascii="Garamond" w:hAnsi="Garamond"/>
          <w:sz w:val="22"/>
        </w:rPr>
        <w:t xml:space="preserve"> </w:t>
      </w:r>
      <w:r w:rsidR="007F75C2" w:rsidRPr="00281739">
        <w:rPr>
          <w:rFonts w:ascii="Garamond" w:hAnsi="Garamond"/>
          <w:sz w:val="22"/>
        </w:rPr>
        <w:t xml:space="preserve">These enterprise agreements are extremely detailed, covering staff workloads, </w:t>
      </w:r>
      <w:r w:rsidR="009338F3" w:rsidRPr="00281739">
        <w:rPr>
          <w:rFonts w:ascii="Garamond" w:hAnsi="Garamond"/>
          <w:sz w:val="22"/>
        </w:rPr>
        <w:t>union representation on various university decision making bodies, promotion committees, union consultation about any workplace change, access to university resources for union negotiators, compulsory contribution to a superannuation fund connected with the union, arrangements for various services to be provided by union</w:t>
      </w:r>
      <w:r w:rsidR="00366861">
        <w:rPr>
          <w:rFonts w:ascii="Garamond" w:hAnsi="Garamond"/>
          <w:sz w:val="22"/>
        </w:rPr>
        <w:t>-</w:t>
      </w:r>
      <w:r w:rsidR="009338F3" w:rsidRPr="00281739">
        <w:rPr>
          <w:rFonts w:ascii="Garamond" w:hAnsi="Garamond"/>
          <w:sz w:val="22"/>
        </w:rPr>
        <w:t>controlled entities, and so on.</w:t>
      </w:r>
    </w:p>
    <w:p w14:paraId="3644997B" w14:textId="0801C1D7" w:rsidR="00A06FCF" w:rsidRPr="00281739" w:rsidRDefault="009338F3" w:rsidP="00891385">
      <w:pPr>
        <w:rPr>
          <w:rFonts w:ascii="Garamond" w:hAnsi="Garamond"/>
          <w:sz w:val="22"/>
        </w:rPr>
      </w:pPr>
      <w:r w:rsidRPr="00281739">
        <w:rPr>
          <w:rFonts w:ascii="Garamond" w:hAnsi="Garamond"/>
          <w:sz w:val="22"/>
        </w:rPr>
        <w:t>All of this adds up to h</w:t>
      </w:r>
      <w:r w:rsidR="0072109C" w:rsidRPr="00281739">
        <w:rPr>
          <w:rFonts w:ascii="Garamond" w:hAnsi="Garamond"/>
          <w:sz w:val="22"/>
        </w:rPr>
        <w:t>igh costs to students and taxpayers</w:t>
      </w:r>
      <w:r w:rsidRPr="00281739">
        <w:rPr>
          <w:rFonts w:ascii="Garamond" w:hAnsi="Garamond"/>
          <w:sz w:val="22"/>
        </w:rPr>
        <w:t>.</w:t>
      </w:r>
      <w:r w:rsidR="00F36982" w:rsidRPr="00281739">
        <w:rPr>
          <w:rFonts w:ascii="Garamond" w:hAnsi="Garamond"/>
          <w:sz w:val="22"/>
        </w:rPr>
        <w:t xml:space="preserve"> </w:t>
      </w:r>
      <w:r w:rsidRPr="00281739">
        <w:rPr>
          <w:rFonts w:ascii="Garamond" w:hAnsi="Garamond"/>
          <w:sz w:val="22"/>
        </w:rPr>
        <w:t xml:space="preserve">Fees are high, but even more damaging are the incentives </w:t>
      </w:r>
      <w:r w:rsidR="00CD0AF1" w:rsidRPr="00281739">
        <w:rPr>
          <w:rFonts w:ascii="Garamond" w:hAnsi="Garamond"/>
          <w:sz w:val="22"/>
        </w:rPr>
        <w:t xml:space="preserve">for incumbent </w:t>
      </w:r>
      <w:r w:rsidR="00043A22" w:rsidRPr="00281739">
        <w:rPr>
          <w:rFonts w:ascii="Garamond" w:hAnsi="Garamond"/>
          <w:sz w:val="22"/>
        </w:rPr>
        <w:t xml:space="preserve">universities </w:t>
      </w:r>
      <w:r w:rsidRPr="00281739">
        <w:rPr>
          <w:rFonts w:ascii="Garamond" w:hAnsi="Garamond"/>
          <w:sz w:val="22"/>
        </w:rPr>
        <w:t>to enrol</w:t>
      </w:r>
      <w:r w:rsidR="001C5F4C">
        <w:rPr>
          <w:rFonts w:ascii="Garamond" w:hAnsi="Garamond"/>
          <w:sz w:val="22"/>
        </w:rPr>
        <w:t xml:space="preserve"> as many</w:t>
      </w:r>
      <w:r w:rsidRPr="00281739">
        <w:rPr>
          <w:rFonts w:ascii="Garamond" w:hAnsi="Garamond"/>
          <w:sz w:val="22"/>
        </w:rPr>
        <w:t xml:space="preserve"> students</w:t>
      </w:r>
      <w:r w:rsidR="001C5F4C">
        <w:rPr>
          <w:rFonts w:ascii="Garamond" w:hAnsi="Garamond"/>
          <w:sz w:val="22"/>
        </w:rPr>
        <w:t xml:space="preserve"> as possible to gain the government subsidies for enrolments. </w:t>
      </w:r>
      <w:r w:rsidR="00132ABE" w:rsidRPr="00281739">
        <w:rPr>
          <w:rFonts w:ascii="Garamond" w:hAnsi="Garamond"/>
          <w:sz w:val="22"/>
        </w:rPr>
        <w:t>Hence the large marketing budgets.</w:t>
      </w:r>
      <w:r w:rsidR="00132ABE">
        <w:rPr>
          <w:rFonts w:ascii="Garamond" w:hAnsi="Garamond"/>
          <w:sz w:val="22"/>
        </w:rPr>
        <w:t xml:space="preserve"> </w:t>
      </w:r>
      <w:r w:rsidR="001C5F4C">
        <w:rPr>
          <w:rFonts w:ascii="Garamond" w:hAnsi="Garamond"/>
          <w:sz w:val="22"/>
        </w:rPr>
        <w:t>In many cases, students are persuaded to enrol, despite there being</w:t>
      </w:r>
      <w:r w:rsidRPr="003942B4">
        <w:rPr>
          <w:rFonts w:ascii="Garamond" w:hAnsi="Garamond"/>
          <w:sz w:val="22"/>
        </w:rPr>
        <w:t xml:space="preserve"> little chance of </w:t>
      </w:r>
      <w:r w:rsidR="00934728">
        <w:rPr>
          <w:rFonts w:ascii="Garamond" w:hAnsi="Garamond"/>
          <w:sz w:val="22"/>
        </w:rPr>
        <w:t xml:space="preserve">them </w:t>
      </w:r>
      <w:r w:rsidRPr="003942B4">
        <w:rPr>
          <w:rFonts w:ascii="Garamond" w:hAnsi="Garamond"/>
          <w:sz w:val="22"/>
        </w:rPr>
        <w:t xml:space="preserve">completing or benefiting from higher </w:t>
      </w:r>
      <w:proofErr w:type="gramStart"/>
      <w:r w:rsidRPr="003942B4">
        <w:rPr>
          <w:rFonts w:ascii="Garamond" w:hAnsi="Garamond"/>
          <w:sz w:val="22"/>
        </w:rPr>
        <w:t>education</w:t>
      </w:r>
      <w:r w:rsidR="00BE2326">
        <w:rPr>
          <w:rFonts w:ascii="Garamond" w:hAnsi="Garamond"/>
          <w:sz w:val="22"/>
        </w:rPr>
        <w:t>.</w:t>
      </w:r>
      <w:r w:rsidR="00CD0AF1" w:rsidRPr="00281739">
        <w:rPr>
          <w:rFonts w:ascii="Garamond" w:hAnsi="Garamond"/>
          <w:sz w:val="22"/>
        </w:rPr>
        <w:t>.</w:t>
      </w:r>
      <w:proofErr w:type="gramEnd"/>
      <w:r w:rsidR="00F36982" w:rsidRPr="00281739">
        <w:rPr>
          <w:rFonts w:ascii="Garamond" w:hAnsi="Garamond"/>
          <w:sz w:val="22"/>
        </w:rPr>
        <w:t xml:space="preserve"> </w:t>
      </w:r>
      <w:r w:rsidR="00043A22" w:rsidRPr="00281739">
        <w:rPr>
          <w:rFonts w:ascii="Garamond" w:hAnsi="Garamond"/>
          <w:sz w:val="22"/>
        </w:rPr>
        <w:t>T</w:t>
      </w:r>
      <w:r w:rsidR="00CD0AF1" w:rsidRPr="00281739">
        <w:rPr>
          <w:rFonts w:ascii="Garamond" w:hAnsi="Garamond"/>
          <w:sz w:val="22"/>
        </w:rPr>
        <w:t xml:space="preserve">he otherwise </w:t>
      </w:r>
      <w:r w:rsidR="004C321D" w:rsidRPr="00281739">
        <w:rPr>
          <w:rFonts w:ascii="Garamond" w:hAnsi="Garamond"/>
          <w:sz w:val="22"/>
        </w:rPr>
        <w:t>laudable</w:t>
      </w:r>
      <w:r w:rsidR="00CD0AF1" w:rsidRPr="00281739">
        <w:rPr>
          <w:rFonts w:ascii="Garamond" w:hAnsi="Garamond"/>
          <w:sz w:val="22"/>
        </w:rPr>
        <w:t xml:space="preserve"> policy of income conti</w:t>
      </w:r>
      <w:r w:rsidR="00043A22" w:rsidRPr="00281739">
        <w:rPr>
          <w:rFonts w:ascii="Garamond" w:hAnsi="Garamond"/>
          <w:sz w:val="22"/>
        </w:rPr>
        <w:t>ngent loans for students</w:t>
      </w:r>
      <w:r w:rsidR="00043A22" w:rsidRPr="00281739">
        <w:rPr>
          <w:rStyle w:val="FootnoteReference"/>
          <w:rFonts w:ascii="Garamond" w:hAnsi="Garamond"/>
          <w:sz w:val="22"/>
        </w:rPr>
        <w:footnoteReference w:id="9"/>
      </w:r>
      <w:r w:rsidR="00043A22" w:rsidRPr="00281739">
        <w:rPr>
          <w:rFonts w:ascii="Garamond" w:hAnsi="Garamond"/>
          <w:sz w:val="22"/>
        </w:rPr>
        <w:t xml:space="preserve"> magnifies</w:t>
      </w:r>
      <w:r w:rsidR="00CD0AF1" w:rsidRPr="00281739">
        <w:rPr>
          <w:rFonts w:ascii="Garamond" w:hAnsi="Garamond"/>
          <w:sz w:val="22"/>
        </w:rPr>
        <w:t xml:space="preserve"> the effects of the perverse incentives to enrol students</w:t>
      </w:r>
      <w:r w:rsidR="00BE2326">
        <w:rPr>
          <w:rFonts w:ascii="Garamond" w:hAnsi="Garamond"/>
          <w:sz w:val="22"/>
        </w:rPr>
        <w:t>,</w:t>
      </w:r>
      <w:r w:rsidR="00CD0AF1" w:rsidRPr="00281739">
        <w:rPr>
          <w:rFonts w:ascii="Garamond" w:hAnsi="Garamond"/>
          <w:sz w:val="22"/>
        </w:rPr>
        <w:t xml:space="preserve"> who are ill-</w:t>
      </w:r>
      <w:r w:rsidR="004C321D" w:rsidRPr="00281739">
        <w:rPr>
          <w:rFonts w:ascii="Garamond" w:hAnsi="Garamond"/>
          <w:sz w:val="22"/>
        </w:rPr>
        <w:t>equipped</w:t>
      </w:r>
      <w:r w:rsidR="00CD0AF1" w:rsidRPr="00281739">
        <w:rPr>
          <w:rFonts w:ascii="Garamond" w:hAnsi="Garamond"/>
          <w:sz w:val="22"/>
        </w:rPr>
        <w:t xml:space="preserve"> for university</w:t>
      </w:r>
      <w:r w:rsidR="00BE2326">
        <w:rPr>
          <w:rFonts w:ascii="Garamond" w:hAnsi="Garamond"/>
          <w:sz w:val="22"/>
        </w:rPr>
        <w:t>,</w:t>
      </w:r>
      <w:r w:rsidR="00455D87" w:rsidRPr="00281739">
        <w:rPr>
          <w:rFonts w:ascii="Garamond" w:hAnsi="Garamond"/>
          <w:sz w:val="22"/>
        </w:rPr>
        <w:t xml:space="preserve"> by pushing the private costs for students back into the uncertain future.</w:t>
      </w:r>
    </w:p>
    <w:p w14:paraId="002AA470" w14:textId="7DD616B8" w:rsidR="0072109C" w:rsidRPr="00281739" w:rsidRDefault="00CD0AF1" w:rsidP="00891385">
      <w:pPr>
        <w:contextualSpacing/>
        <w:rPr>
          <w:rFonts w:ascii="Garamond" w:hAnsi="Garamond"/>
          <w:sz w:val="22"/>
        </w:rPr>
      </w:pPr>
      <w:r w:rsidRPr="00281739">
        <w:rPr>
          <w:rFonts w:ascii="Garamond" w:hAnsi="Garamond"/>
          <w:sz w:val="22"/>
        </w:rPr>
        <w:t xml:space="preserve">It is hardly surprising that </w:t>
      </w:r>
      <w:r w:rsidR="00BE2326">
        <w:rPr>
          <w:rFonts w:ascii="Garamond" w:hAnsi="Garamond"/>
          <w:sz w:val="22"/>
        </w:rPr>
        <w:t xml:space="preserve">the </w:t>
      </w:r>
      <w:r w:rsidRPr="00281739">
        <w:rPr>
          <w:rFonts w:ascii="Garamond" w:hAnsi="Garamond"/>
          <w:sz w:val="22"/>
        </w:rPr>
        <w:t>quality of higher education in these circumstances is deteriorating, especially at the bottom end of the system.</w:t>
      </w:r>
      <w:r w:rsidR="009034D0">
        <w:rPr>
          <w:rFonts w:ascii="Garamond" w:hAnsi="Garamond"/>
          <w:sz w:val="22"/>
        </w:rPr>
        <w:t xml:space="preserve"> </w:t>
      </w:r>
      <w:r w:rsidRPr="00281739">
        <w:rPr>
          <w:rFonts w:ascii="Garamond" w:hAnsi="Garamond"/>
          <w:sz w:val="22"/>
        </w:rPr>
        <w:t xml:space="preserve">The incentives to erode </w:t>
      </w:r>
      <w:r w:rsidR="004C321D" w:rsidRPr="00281739">
        <w:rPr>
          <w:rFonts w:ascii="Garamond" w:hAnsi="Garamond"/>
          <w:sz w:val="22"/>
        </w:rPr>
        <w:t>quality</w:t>
      </w:r>
      <w:r w:rsidRPr="00281739">
        <w:rPr>
          <w:rFonts w:ascii="Garamond" w:hAnsi="Garamond"/>
          <w:sz w:val="22"/>
        </w:rPr>
        <w:t xml:space="preserve"> in search of the government dollar are just too strong for university </w:t>
      </w:r>
      <w:r w:rsidR="004C321D" w:rsidRPr="00281739">
        <w:rPr>
          <w:rFonts w:ascii="Garamond" w:hAnsi="Garamond"/>
          <w:sz w:val="22"/>
        </w:rPr>
        <w:t>administrators</w:t>
      </w:r>
      <w:r w:rsidRPr="00281739">
        <w:rPr>
          <w:rFonts w:ascii="Garamond" w:hAnsi="Garamond"/>
          <w:sz w:val="22"/>
        </w:rPr>
        <w:t xml:space="preserve"> to resist. Evidence of this includes declining employment rates and starting salaries for graduates relative to non-graduates</w:t>
      </w:r>
      <w:r w:rsidR="00BF35DA">
        <w:rPr>
          <w:rFonts w:ascii="Garamond" w:hAnsi="Garamond"/>
          <w:sz w:val="22"/>
        </w:rPr>
        <w:t>.</w:t>
      </w:r>
      <w:r w:rsidRPr="00281739">
        <w:rPr>
          <w:rFonts w:ascii="Garamond" w:hAnsi="Garamond"/>
          <w:sz w:val="22"/>
        </w:rPr>
        <w:t xml:space="preserve"> </w:t>
      </w:r>
      <w:r w:rsidR="005F60DF">
        <w:rPr>
          <w:rFonts w:ascii="Garamond" w:hAnsi="Garamond"/>
          <w:sz w:val="22"/>
        </w:rPr>
        <w:t>R</w:t>
      </w:r>
      <w:r w:rsidR="00DA5E5B" w:rsidRPr="00281739">
        <w:rPr>
          <w:rFonts w:ascii="Garamond" w:hAnsi="Garamond"/>
          <w:sz w:val="22"/>
        </w:rPr>
        <w:t>esults of the recently introduced government survey of teaching quality</w:t>
      </w:r>
      <w:r w:rsidR="006B09A4" w:rsidRPr="00281739">
        <w:rPr>
          <w:rFonts w:ascii="Garamond" w:hAnsi="Garamond"/>
          <w:sz w:val="22"/>
        </w:rPr>
        <w:t xml:space="preserve">, </w:t>
      </w:r>
      <w:r w:rsidR="001510D2" w:rsidRPr="00281739">
        <w:rPr>
          <w:rFonts w:ascii="Garamond" w:hAnsi="Garamond"/>
          <w:sz w:val="22"/>
        </w:rPr>
        <w:t xml:space="preserve">Quality Indicators for Learning and Teaching </w:t>
      </w:r>
      <w:r w:rsidR="00DA5E5B" w:rsidRPr="00281739">
        <w:rPr>
          <w:rFonts w:ascii="Garamond" w:hAnsi="Garamond"/>
          <w:sz w:val="22"/>
        </w:rPr>
        <w:t>(</w:t>
      </w:r>
      <w:r w:rsidR="00A06FCF" w:rsidRPr="00281739">
        <w:rPr>
          <w:rFonts w:ascii="Garamond" w:hAnsi="Garamond"/>
          <w:sz w:val="22"/>
        </w:rPr>
        <w:t>QILT</w:t>
      </w:r>
      <w:r w:rsidR="00DA5E5B" w:rsidRPr="00281739">
        <w:rPr>
          <w:rFonts w:ascii="Garamond" w:hAnsi="Garamond"/>
          <w:sz w:val="22"/>
        </w:rPr>
        <w:t>)</w:t>
      </w:r>
      <w:r w:rsidR="005F60DF">
        <w:rPr>
          <w:rFonts w:ascii="Garamond" w:hAnsi="Garamond"/>
          <w:sz w:val="22"/>
        </w:rPr>
        <w:t>, also show</w:t>
      </w:r>
      <w:r w:rsidR="000A1CAF">
        <w:rPr>
          <w:rFonts w:ascii="Garamond" w:hAnsi="Garamond"/>
          <w:sz w:val="22"/>
        </w:rPr>
        <w:t>s</w:t>
      </w:r>
      <w:r w:rsidR="005F60DF">
        <w:rPr>
          <w:rFonts w:ascii="Garamond" w:hAnsi="Garamond"/>
          <w:sz w:val="22"/>
        </w:rPr>
        <w:t xml:space="preserve"> that</w:t>
      </w:r>
      <w:r w:rsidR="00DA5E5B" w:rsidRPr="00281739">
        <w:rPr>
          <w:rFonts w:ascii="Garamond" w:hAnsi="Garamond"/>
          <w:sz w:val="22"/>
        </w:rPr>
        <w:t xml:space="preserve"> the few private </w:t>
      </w:r>
      <w:r w:rsidR="004C321D" w:rsidRPr="00281739">
        <w:rPr>
          <w:rFonts w:ascii="Garamond" w:hAnsi="Garamond"/>
          <w:sz w:val="22"/>
        </w:rPr>
        <w:t>institutions a</w:t>
      </w:r>
      <w:r w:rsidR="00DA5E5B" w:rsidRPr="00281739">
        <w:rPr>
          <w:rFonts w:ascii="Garamond" w:hAnsi="Garamond"/>
          <w:sz w:val="22"/>
        </w:rPr>
        <w:t>llowed into the system hold the top places in the rankings, above any of our public universities</w:t>
      </w:r>
      <w:r w:rsidR="00455D87" w:rsidRPr="00281739">
        <w:rPr>
          <w:rStyle w:val="FootnoteReference"/>
          <w:rFonts w:ascii="Garamond" w:hAnsi="Garamond"/>
          <w:sz w:val="22"/>
        </w:rPr>
        <w:footnoteReference w:id="10"/>
      </w:r>
      <w:r w:rsidR="00DA5E5B" w:rsidRPr="00281739">
        <w:rPr>
          <w:rFonts w:ascii="Garamond" w:hAnsi="Garamond"/>
          <w:sz w:val="22"/>
        </w:rPr>
        <w:t>.</w:t>
      </w:r>
    </w:p>
    <w:p w14:paraId="774BA002" w14:textId="77777777" w:rsidR="00562A42" w:rsidRDefault="00562A42" w:rsidP="00952352">
      <w:pPr>
        <w:rPr>
          <w:rFonts w:ascii="Garamond" w:hAnsi="Garamond"/>
          <w:b/>
          <w:sz w:val="22"/>
        </w:rPr>
      </w:pPr>
    </w:p>
    <w:p w14:paraId="4ADD39AA" w14:textId="4EB5C99B" w:rsidR="0072109C" w:rsidRPr="00562A42" w:rsidRDefault="003C58F5" w:rsidP="00952352">
      <w:pPr>
        <w:rPr>
          <w:rFonts w:ascii="Garamond" w:hAnsi="Garamond"/>
          <w:sz w:val="28"/>
          <w:szCs w:val="28"/>
        </w:rPr>
      </w:pPr>
      <w:r w:rsidRPr="00562A42">
        <w:rPr>
          <w:rFonts w:ascii="Garamond" w:hAnsi="Garamond"/>
          <w:b/>
          <w:sz w:val="28"/>
          <w:szCs w:val="28"/>
        </w:rPr>
        <w:t>W</w:t>
      </w:r>
      <w:r w:rsidR="000F739A" w:rsidRPr="00562A42">
        <w:rPr>
          <w:rFonts w:ascii="Garamond" w:hAnsi="Garamond"/>
          <w:b/>
          <w:sz w:val="28"/>
          <w:szCs w:val="28"/>
        </w:rPr>
        <w:t xml:space="preserve">hat </w:t>
      </w:r>
      <w:r w:rsidR="00562A42">
        <w:rPr>
          <w:rFonts w:ascii="Garamond" w:hAnsi="Garamond"/>
          <w:b/>
          <w:sz w:val="28"/>
          <w:szCs w:val="28"/>
        </w:rPr>
        <w:t>C</w:t>
      </w:r>
      <w:r w:rsidR="000F739A" w:rsidRPr="00562A42">
        <w:rPr>
          <w:rFonts w:ascii="Garamond" w:hAnsi="Garamond"/>
          <w:b/>
          <w:sz w:val="28"/>
          <w:szCs w:val="28"/>
        </w:rPr>
        <w:t xml:space="preserve">an be </w:t>
      </w:r>
      <w:r w:rsidR="00562A42">
        <w:rPr>
          <w:rFonts w:ascii="Garamond" w:hAnsi="Garamond"/>
          <w:b/>
          <w:sz w:val="28"/>
          <w:szCs w:val="28"/>
        </w:rPr>
        <w:t>D</w:t>
      </w:r>
      <w:r w:rsidR="000F739A" w:rsidRPr="00562A42">
        <w:rPr>
          <w:rFonts w:ascii="Garamond" w:hAnsi="Garamond"/>
          <w:b/>
          <w:sz w:val="28"/>
          <w:szCs w:val="28"/>
        </w:rPr>
        <w:t>one</w:t>
      </w:r>
      <w:r w:rsidRPr="00562A42">
        <w:rPr>
          <w:rFonts w:ascii="Garamond" w:hAnsi="Garamond"/>
          <w:b/>
          <w:sz w:val="28"/>
          <w:szCs w:val="28"/>
        </w:rPr>
        <w:t>?</w:t>
      </w:r>
    </w:p>
    <w:p w14:paraId="4CC38940" w14:textId="5373926A" w:rsidR="003C58F5" w:rsidRPr="004721D5" w:rsidRDefault="0072109C" w:rsidP="00891385">
      <w:pPr>
        <w:rPr>
          <w:rFonts w:ascii="Garamond" w:hAnsi="Garamond"/>
          <w:sz w:val="22"/>
        </w:rPr>
      </w:pPr>
      <w:r w:rsidRPr="00952352">
        <w:rPr>
          <w:rFonts w:ascii="Garamond" w:hAnsi="Garamond"/>
          <w:b/>
          <w:sz w:val="22"/>
        </w:rPr>
        <w:t>Facilitate new universities.</w:t>
      </w:r>
      <w:r w:rsidR="00F36982" w:rsidRPr="00952352">
        <w:rPr>
          <w:rFonts w:ascii="Garamond" w:hAnsi="Garamond"/>
          <w:sz w:val="22"/>
        </w:rPr>
        <w:t xml:space="preserve"> </w:t>
      </w:r>
      <w:r w:rsidR="000A1CAF">
        <w:rPr>
          <w:rFonts w:ascii="Garamond" w:hAnsi="Garamond"/>
          <w:sz w:val="22"/>
        </w:rPr>
        <w:t>T</w:t>
      </w:r>
      <w:r w:rsidR="003C58F5" w:rsidRPr="00952352">
        <w:rPr>
          <w:rFonts w:ascii="Garamond" w:hAnsi="Garamond"/>
          <w:sz w:val="22"/>
        </w:rPr>
        <w:t xml:space="preserve">he combination of Australia’s </w:t>
      </w:r>
      <w:r w:rsidR="00455D87" w:rsidRPr="00952352">
        <w:rPr>
          <w:rFonts w:ascii="Garamond" w:hAnsi="Garamond"/>
          <w:sz w:val="22"/>
        </w:rPr>
        <w:t xml:space="preserve">underdeveloped </w:t>
      </w:r>
      <w:r w:rsidR="003C58F5" w:rsidRPr="00952352">
        <w:rPr>
          <w:rFonts w:ascii="Garamond" w:hAnsi="Garamond"/>
          <w:sz w:val="22"/>
        </w:rPr>
        <w:t xml:space="preserve">culture of educational philanthropy and the </w:t>
      </w:r>
      <w:r w:rsidR="00455D87" w:rsidRPr="00952352">
        <w:rPr>
          <w:rFonts w:ascii="Garamond" w:hAnsi="Garamond"/>
          <w:sz w:val="22"/>
        </w:rPr>
        <w:t xml:space="preserve">hostile </w:t>
      </w:r>
      <w:r w:rsidR="003C58F5" w:rsidRPr="00952352">
        <w:rPr>
          <w:rFonts w:ascii="Garamond" w:hAnsi="Garamond"/>
          <w:sz w:val="22"/>
        </w:rPr>
        <w:t xml:space="preserve">policy environment make it extremely difficult </w:t>
      </w:r>
      <w:r w:rsidR="00455D87" w:rsidRPr="00952352">
        <w:rPr>
          <w:rFonts w:ascii="Garamond" w:hAnsi="Garamond"/>
          <w:sz w:val="22"/>
        </w:rPr>
        <w:t xml:space="preserve">to start </w:t>
      </w:r>
      <w:r w:rsidR="003C58F5" w:rsidRPr="00952352">
        <w:rPr>
          <w:rFonts w:ascii="Garamond" w:hAnsi="Garamond"/>
          <w:sz w:val="22"/>
        </w:rPr>
        <w:t>new universities.</w:t>
      </w:r>
      <w:r w:rsidR="00F36982" w:rsidRPr="00952352">
        <w:rPr>
          <w:rFonts w:ascii="Garamond" w:hAnsi="Garamond"/>
          <w:sz w:val="22"/>
        </w:rPr>
        <w:t xml:space="preserve"> </w:t>
      </w:r>
      <w:r w:rsidR="00B07527">
        <w:rPr>
          <w:rFonts w:ascii="Garamond" w:hAnsi="Garamond"/>
          <w:sz w:val="22"/>
        </w:rPr>
        <w:t>The Higher Education Standards Panel (</w:t>
      </w:r>
      <w:r w:rsidR="00D830C5">
        <w:rPr>
          <w:rFonts w:ascii="Garamond" w:hAnsi="Garamond"/>
          <w:sz w:val="22"/>
        </w:rPr>
        <w:t>HESP</w:t>
      </w:r>
      <w:r w:rsidR="00B07527">
        <w:rPr>
          <w:rFonts w:ascii="Garamond" w:hAnsi="Garamond"/>
          <w:sz w:val="22"/>
        </w:rPr>
        <w:t>)</w:t>
      </w:r>
      <w:r w:rsidR="00D830C5">
        <w:rPr>
          <w:rFonts w:ascii="Garamond" w:hAnsi="Garamond"/>
          <w:sz w:val="22"/>
        </w:rPr>
        <w:t xml:space="preserve"> </w:t>
      </w:r>
      <w:r w:rsidR="00FA7818" w:rsidRPr="004721D5">
        <w:rPr>
          <w:rFonts w:ascii="Garamond" w:hAnsi="Garamond"/>
          <w:sz w:val="22"/>
        </w:rPr>
        <w:t>sets the rules for accreditation of new universities, such as having three broad areas of study, degrees up to doctoral level, and substantial research capacity</w:t>
      </w:r>
      <w:r w:rsidR="00D830C5">
        <w:rPr>
          <w:rFonts w:ascii="Garamond" w:hAnsi="Garamond"/>
          <w:sz w:val="22"/>
        </w:rPr>
        <w:t>.</w:t>
      </w:r>
      <w:r w:rsidR="00FA7818" w:rsidRPr="004721D5">
        <w:rPr>
          <w:rFonts w:ascii="Garamond" w:hAnsi="Garamond"/>
          <w:sz w:val="22"/>
        </w:rPr>
        <w:t xml:space="preserve"> </w:t>
      </w:r>
      <w:r w:rsidR="003C58F5" w:rsidRPr="004721D5">
        <w:rPr>
          <w:rFonts w:ascii="Garamond" w:hAnsi="Garamond"/>
          <w:sz w:val="22"/>
        </w:rPr>
        <w:t>Besides the category of ‘university’</w:t>
      </w:r>
      <w:r w:rsidR="00D830C5">
        <w:rPr>
          <w:rFonts w:ascii="Garamond" w:hAnsi="Garamond"/>
          <w:sz w:val="22"/>
        </w:rPr>
        <w:t>,</w:t>
      </w:r>
      <w:r w:rsidR="003C58F5" w:rsidRPr="004721D5">
        <w:rPr>
          <w:rFonts w:ascii="Garamond" w:hAnsi="Garamond"/>
          <w:sz w:val="22"/>
        </w:rPr>
        <w:t xml:space="preserve"> the</w:t>
      </w:r>
      <w:r w:rsidR="00FA7818" w:rsidRPr="004721D5">
        <w:rPr>
          <w:rFonts w:ascii="Garamond" w:hAnsi="Garamond"/>
          <w:sz w:val="22"/>
        </w:rPr>
        <w:t>re i</w:t>
      </w:r>
      <w:r w:rsidR="00455D87" w:rsidRPr="004721D5">
        <w:rPr>
          <w:rFonts w:ascii="Garamond" w:hAnsi="Garamond"/>
          <w:sz w:val="22"/>
        </w:rPr>
        <w:t>s t</w:t>
      </w:r>
      <w:r w:rsidR="003C58F5" w:rsidRPr="004721D5">
        <w:rPr>
          <w:rFonts w:ascii="Garamond" w:hAnsi="Garamond"/>
          <w:sz w:val="22"/>
        </w:rPr>
        <w:t>he strange category of ‘university college’</w:t>
      </w:r>
      <w:r w:rsidR="00D830C5">
        <w:rPr>
          <w:rFonts w:ascii="Garamond" w:hAnsi="Garamond"/>
          <w:sz w:val="22"/>
        </w:rPr>
        <w:t>, which is</w:t>
      </w:r>
      <w:r w:rsidR="003C58F5" w:rsidRPr="004721D5">
        <w:rPr>
          <w:rFonts w:ascii="Garamond" w:hAnsi="Garamond"/>
          <w:sz w:val="22"/>
        </w:rPr>
        <w:t xml:space="preserve"> a swamp designed by the university experts who wrote the original standard</w:t>
      </w:r>
      <w:r w:rsidR="00FA7818" w:rsidRPr="004721D5">
        <w:rPr>
          <w:rFonts w:ascii="Garamond" w:hAnsi="Garamond"/>
          <w:sz w:val="22"/>
        </w:rPr>
        <w:t>s</w:t>
      </w:r>
      <w:r w:rsidR="003C58F5" w:rsidRPr="004721D5">
        <w:rPr>
          <w:rFonts w:ascii="Garamond" w:hAnsi="Garamond"/>
          <w:sz w:val="22"/>
        </w:rPr>
        <w:t xml:space="preserve"> to ensure no new entrant passes through. </w:t>
      </w:r>
      <w:r w:rsidR="00D830C5">
        <w:rPr>
          <w:rFonts w:ascii="Garamond" w:hAnsi="Garamond"/>
          <w:sz w:val="22"/>
        </w:rPr>
        <w:t>HESP</w:t>
      </w:r>
      <w:r w:rsidR="003C58F5" w:rsidRPr="004721D5">
        <w:rPr>
          <w:rFonts w:ascii="Garamond" w:hAnsi="Garamond"/>
          <w:sz w:val="22"/>
        </w:rPr>
        <w:t xml:space="preserve"> is currently reviewing provider </w:t>
      </w:r>
      <w:proofErr w:type="gramStart"/>
      <w:r w:rsidR="003C58F5" w:rsidRPr="004721D5">
        <w:rPr>
          <w:rFonts w:ascii="Garamond" w:hAnsi="Garamond"/>
          <w:sz w:val="22"/>
        </w:rPr>
        <w:t>categories, and</w:t>
      </w:r>
      <w:proofErr w:type="gramEnd"/>
      <w:r w:rsidR="003C58F5" w:rsidRPr="004721D5">
        <w:rPr>
          <w:rFonts w:ascii="Garamond" w:hAnsi="Garamond"/>
          <w:sz w:val="22"/>
        </w:rPr>
        <w:t xml:space="preserve"> </w:t>
      </w:r>
      <w:r w:rsidR="00A26028">
        <w:rPr>
          <w:rFonts w:ascii="Garamond" w:hAnsi="Garamond"/>
          <w:sz w:val="22"/>
        </w:rPr>
        <w:t xml:space="preserve">should </w:t>
      </w:r>
      <w:r w:rsidR="003C58F5" w:rsidRPr="004721D5">
        <w:rPr>
          <w:rFonts w:ascii="Garamond" w:hAnsi="Garamond"/>
          <w:sz w:val="22"/>
        </w:rPr>
        <w:t xml:space="preserve">rewrite the category of </w:t>
      </w:r>
      <w:r w:rsidR="00A30292" w:rsidRPr="004721D5">
        <w:rPr>
          <w:rFonts w:ascii="Garamond" w:hAnsi="Garamond"/>
          <w:sz w:val="22"/>
        </w:rPr>
        <w:t>‘</w:t>
      </w:r>
      <w:r w:rsidR="003C58F5" w:rsidRPr="004721D5">
        <w:rPr>
          <w:rFonts w:ascii="Garamond" w:hAnsi="Garamond"/>
          <w:sz w:val="22"/>
        </w:rPr>
        <w:t>university college</w:t>
      </w:r>
      <w:r w:rsidR="00A30292" w:rsidRPr="004721D5">
        <w:rPr>
          <w:rFonts w:ascii="Garamond" w:hAnsi="Garamond"/>
          <w:sz w:val="22"/>
        </w:rPr>
        <w:t>’</w:t>
      </w:r>
      <w:r w:rsidR="003C58F5" w:rsidRPr="004721D5">
        <w:rPr>
          <w:rFonts w:ascii="Garamond" w:hAnsi="Garamond"/>
          <w:sz w:val="22"/>
        </w:rPr>
        <w:t xml:space="preserve"> to fit high quality private providers who have no interest in the breadth or research requirements of universities</w:t>
      </w:r>
      <w:r w:rsidR="00560F44">
        <w:rPr>
          <w:rFonts w:ascii="Garamond" w:hAnsi="Garamond"/>
          <w:sz w:val="22"/>
        </w:rPr>
        <w:t>,</w:t>
      </w:r>
      <w:r w:rsidR="003C58F5" w:rsidRPr="004721D5">
        <w:rPr>
          <w:rFonts w:ascii="Garamond" w:hAnsi="Garamond"/>
          <w:sz w:val="22"/>
        </w:rPr>
        <w:t xml:space="preserve"> but deserve a title that allows them to compete in education export markets with lesser overseas institutions.</w:t>
      </w:r>
      <w:r w:rsidR="009034D0">
        <w:rPr>
          <w:rFonts w:ascii="Garamond" w:hAnsi="Garamond"/>
          <w:sz w:val="22"/>
        </w:rPr>
        <w:t xml:space="preserve"> </w:t>
      </w:r>
      <w:r w:rsidR="003C58F5" w:rsidRPr="004721D5">
        <w:rPr>
          <w:rFonts w:ascii="Garamond" w:hAnsi="Garamond"/>
          <w:sz w:val="22"/>
        </w:rPr>
        <w:t>This change would also allow institutions</w:t>
      </w:r>
      <w:r w:rsidR="00D830C5">
        <w:rPr>
          <w:rFonts w:ascii="Garamond" w:hAnsi="Garamond"/>
          <w:sz w:val="22"/>
        </w:rPr>
        <w:t>,</w:t>
      </w:r>
      <w:r w:rsidR="003C58F5" w:rsidRPr="004721D5">
        <w:rPr>
          <w:rFonts w:ascii="Garamond" w:hAnsi="Garamond"/>
          <w:sz w:val="22"/>
        </w:rPr>
        <w:t xml:space="preserve"> which have been granted self-accrediting status by TEQSA in recent years</w:t>
      </w:r>
      <w:r w:rsidR="00D830C5">
        <w:rPr>
          <w:rFonts w:ascii="Garamond" w:hAnsi="Garamond"/>
          <w:sz w:val="22"/>
        </w:rPr>
        <w:t>,</w:t>
      </w:r>
      <w:r w:rsidR="003C58F5" w:rsidRPr="004721D5">
        <w:rPr>
          <w:rFonts w:ascii="Garamond" w:hAnsi="Garamond"/>
          <w:sz w:val="22"/>
        </w:rPr>
        <w:t xml:space="preserve"> to apply directly for university status when they meet the requirements, </w:t>
      </w:r>
      <w:r w:rsidR="000A1CAF">
        <w:rPr>
          <w:rFonts w:ascii="Garamond" w:hAnsi="Garamond"/>
          <w:sz w:val="22"/>
        </w:rPr>
        <w:t xml:space="preserve">thereby </w:t>
      </w:r>
      <w:proofErr w:type="gramStart"/>
      <w:r w:rsidR="003C58F5" w:rsidRPr="004721D5">
        <w:rPr>
          <w:rFonts w:ascii="Garamond" w:hAnsi="Garamond"/>
          <w:sz w:val="22"/>
        </w:rPr>
        <w:t>opening up</w:t>
      </w:r>
      <w:proofErr w:type="gramEnd"/>
      <w:r w:rsidR="003C58F5" w:rsidRPr="004721D5">
        <w:rPr>
          <w:rFonts w:ascii="Garamond" w:hAnsi="Garamond"/>
          <w:sz w:val="22"/>
        </w:rPr>
        <w:t xml:space="preserve"> public universities to real competition.</w:t>
      </w:r>
    </w:p>
    <w:p w14:paraId="524E1037" w14:textId="00A0A6EF" w:rsidR="00AA12AE" w:rsidRPr="004721D5" w:rsidRDefault="00B40143" w:rsidP="00F36982">
      <w:pPr>
        <w:contextualSpacing/>
        <w:rPr>
          <w:rFonts w:ascii="Garamond" w:hAnsi="Garamond"/>
          <w:sz w:val="22"/>
        </w:rPr>
      </w:pPr>
      <w:r w:rsidRPr="004721D5">
        <w:rPr>
          <w:rFonts w:ascii="Garamond" w:hAnsi="Garamond"/>
          <w:b/>
          <w:sz w:val="22"/>
        </w:rPr>
        <w:lastRenderedPageBreak/>
        <w:t>Restructure public universities to facilitate takeovers and exit</w:t>
      </w:r>
      <w:r w:rsidRPr="003942B4">
        <w:rPr>
          <w:rFonts w:ascii="Garamond" w:hAnsi="Garamond"/>
          <w:b/>
          <w:sz w:val="22"/>
        </w:rPr>
        <w:t>.</w:t>
      </w:r>
      <w:r w:rsidRPr="004721D5">
        <w:rPr>
          <w:rFonts w:ascii="Garamond" w:hAnsi="Garamond"/>
          <w:sz w:val="22"/>
        </w:rPr>
        <w:t xml:space="preserve"> </w:t>
      </w:r>
      <w:r w:rsidR="000A1CAF">
        <w:rPr>
          <w:rFonts w:ascii="Garamond" w:hAnsi="Garamond"/>
          <w:sz w:val="22"/>
        </w:rPr>
        <w:t>In the current environment,</w:t>
      </w:r>
      <w:r w:rsidR="00455D87" w:rsidRPr="004721D5">
        <w:rPr>
          <w:rFonts w:ascii="Garamond" w:hAnsi="Garamond"/>
          <w:sz w:val="22"/>
        </w:rPr>
        <w:t xml:space="preserve"> there seems to be an i</w:t>
      </w:r>
      <w:r w:rsidR="00AA12AE" w:rsidRPr="004721D5">
        <w:rPr>
          <w:rFonts w:ascii="Garamond" w:hAnsi="Garamond"/>
          <w:sz w:val="22"/>
        </w:rPr>
        <w:t xml:space="preserve">mplicit </w:t>
      </w:r>
      <w:r w:rsidR="00455D87" w:rsidRPr="004721D5">
        <w:rPr>
          <w:rFonts w:ascii="Garamond" w:hAnsi="Garamond"/>
          <w:sz w:val="22"/>
        </w:rPr>
        <w:t xml:space="preserve">political </w:t>
      </w:r>
      <w:r w:rsidR="00AA12AE" w:rsidRPr="004721D5">
        <w:rPr>
          <w:rFonts w:ascii="Garamond" w:hAnsi="Garamond"/>
          <w:sz w:val="22"/>
        </w:rPr>
        <w:t>guarantee that no existing university be allowed to go to the wall</w:t>
      </w:r>
      <w:r w:rsidR="00EE654F">
        <w:rPr>
          <w:rFonts w:ascii="Garamond" w:hAnsi="Garamond"/>
          <w:sz w:val="22"/>
        </w:rPr>
        <w:t>, and</w:t>
      </w:r>
      <w:r w:rsidR="00E808DF">
        <w:rPr>
          <w:rFonts w:ascii="Garamond" w:hAnsi="Garamond"/>
          <w:sz w:val="22"/>
        </w:rPr>
        <w:t xml:space="preserve"> </w:t>
      </w:r>
      <w:r w:rsidR="00EE654F">
        <w:rPr>
          <w:rFonts w:ascii="Garamond" w:hAnsi="Garamond"/>
          <w:sz w:val="22"/>
        </w:rPr>
        <w:t>c</w:t>
      </w:r>
      <w:r w:rsidR="00455D87" w:rsidRPr="004721D5">
        <w:rPr>
          <w:rFonts w:ascii="Garamond" w:hAnsi="Garamond"/>
          <w:sz w:val="22"/>
        </w:rPr>
        <w:t>ertainly no</w:t>
      </w:r>
      <w:r w:rsidR="00EE654F">
        <w:rPr>
          <w:rFonts w:ascii="Garamond" w:hAnsi="Garamond"/>
          <w:sz w:val="22"/>
        </w:rPr>
        <w:t>t a</w:t>
      </w:r>
      <w:r w:rsidR="00455D87" w:rsidRPr="004721D5">
        <w:rPr>
          <w:rFonts w:ascii="Garamond" w:hAnsi="Garamond"/>
          <w:sz w:val="22"/>
        </w:rPr>
        <w:t xml:space="preserve"> regional university, or university in an outer metropolitan marginal seat.</w:t>
      </w:r>
      <w:r w:rsidR="00F36982" w:rsidRPr="004721D5">
        <w:rPr>
          <w:rFonts w:ascii="Garamond" w:hAnsi="Garamond"/>
          <w:sz w:val="22"/>
        </w:rPr>
        <w:t xml:space="preserve"> </w:t>
      </w:r>
      <w:r w:rsidR="00455D87" w:rsidRPr="004721D5">
        <w:rPr>
          <w:rFonts w:ascii="Garamond" w:hAnsi="Garamond"/>
          <w:sz w:val="22"/>
        </w:rPr>
        <w:t xml:space="preserve">What about forcing the incumbents </w:t>
      </w:r>
      <w:r w:rsidR="00E75228" w:rsidRPr="004721D5">
        <w:rPr>
          <w:rFonts w:ascii="Garamond" w:hAnsi="Garamond"/>
          <w:sz w:val="22"/>
        </w:rPr>
        <w:t xml:space="preserve">to </w:t>
      </w:r>
      <w:r w:rsidR="006B7EF3">
        <w:rPr>
          <w:rFonts w:ascii="Garamond" w:hAnsi="Garamond"/>
          <w:sz w:val="22"/>
        </w:rPr>
        <w:t xml:space="preserve">adopt </w:t>
      </w:r>
      <w:r w:rsidR="00E75228" w:rsidRPr="004721D5">
        <w:rPr>
          <w:rFonts w:ascii="Garamond" w:hAnsi="Garamond"/>
          <w:sz w:val="22"/>
        </w:rPr>
        <w:t>govern</w:t>
      </w:r>
      <w:r w:rsidR="004B7D8F" w:rsidRPr="004721D5">
        <w:rPr>
          <w:rFonts w:ascii="Garamond" w:hAnsi="Garamond"/>
          <w:sz w:val="22"/>
        </w:rPr>
        <w:t>ance arrangements that facilitate the transfer of control to a new management where the university is consistently making losses (which requires exceptional</w:t>
      </w:r>
      <w:r w:rsidR="00D830C5">
        <w:rPr>
          <w:rFonts w:ascii="Garamond" w:hAnsi="Garamond"/>
          <w:sz w:val="22"/>
        </w:rPr>
        <w:t>ly</w:t>
      </w:r>
      <w:r w:rsidR="004B7D8F" w:rsidRPr="004721D5">
        <w:rPr>
          <w:rFonts w:ascii="Garamond" w:hAnsi="Garamond"/>
          <w:sz w:val="22"/>
        </w:rPr>
        <w:t xml:space="preserve"> awful management under the current regime of regulation and subsidies for public universities) or underperforming in other ways. Such changes in governance arrangements may preserve the institution</w:t>
      </w:r>
      <w:r w:rsidR="00EE654F">
        <w:rPr>
          <w:rFonts w:ascii="Garamond" w:hAnsi="Garamond"/>
          <w:sz w:val="22"/>
        </w:rPr>
        <w:t>’</w:t>
      </w:r>
      <w:r w:rsidR="004B7D8F" w:rsidRPr="004721D5">
        <w:rPr>
          <w:rFonts w:ascii="Garamond" w:hAnsi="Garamond"/>
          <w:sz w:val="22"/>
        </w:rPr>
        <w:t>s not-for-profit status.</w:t>
      </w:r>
      <w:r w:rsidR="00F36982" w:rsidRPr="004721D5">
        <w:rPr>
          <w:rFonts w:ascii="Garamond" w:hAnsi="Garamond"/>
          <w:sz w:val="22"/>
        </w:rPr>
        <w:t xml:space="preserve"> </w:t>
      </w:r>
      <w:r w:rsidR="004B7D8F" w:rsidRPr="004721D5">
        <w:rPr>
          <w:rFonts w:ascii="Garamond" w:hAnsi="Garamond"/>
          <w:sz w:val="22"/>
        </w:rPr>
        <w:t xml:space="preserve">If </w:t>
      </w:r>
      <w:proofErr w:type="gramStart"/>
      <w:r w:rsidR="004B7D8F" w:rsidRPr="004721D5">
        <w:rPr>
          <w:rFonts w:ascii="Garamond" w:hAnsi="Garamond"/>
          <w:sz w:val="22"/>
        </w:rPr>
        <w:t>so</w:t>
      </w:r>
      <w:r w:rsidR="00EE654F">
        <w:rPr>
          <w:rFonts w:ascii="Garamond" w:hAnsi="Garamond"/>
          <w:sz w:val="22"/>
        </w:rPr>
        <w:t>,</w:t>
      </w:r>
      <w:r w:rsidR="004B7D8F" w:rsidRPr="004721D5">
        <w:rPr>
          <w:rFonts w:ascii="Garamond" w:hAnsi="Garamond"/>
          <w:sz w:val="22"/>
        </w:rPr>
        <w:t xml:space="preserve">  what</w:t>
      </w:r>
      <w:proofErr w:type="gramEnd"/>
      <w:r w:rsidR="004B7D8F" w:rsidRPr="004721D5">
        <w:rPr>
          <w:rFonts w:ascii="Garamond" w:hAnsi="Garamond"/>
          <w:sz w:val="22"/>
        </w:rPr>
        <w:t xml:space="preserve"> is the incentive for a new management to take over the institution?</w:t>
      </w:r>
      <w:r w:rsidR="009034D0">
        <w:rPr>
          <w:rFonts w:ascii="Garamond" w:hAnsi="Garamond"/>
          <w:sz w:val="22"/>
        </w:rPr>
        <w:t xml:space="preserve"> </w:t>
      </w:r>
      <w:r w:rsidR="004B7D8F" w:rsidRPr="00B632E1">
        <w:rPr>
          <w:rFonts w:ascii="Garamond" w:hAnsi="Garamond"/>
          <w:sz w:val="22"/>
        </w:rPr>
        <w:t>It might be the lure of the monopoly rents on offer</w:t>
      </w:r>
      <w:r w:rsidR="00EE654F" w:rsidRPr="008619FE">
        <w:rPr>
          <w:rFonts w:ascii="Garamond" w:hAnsi="Garamond"/>
          <w:sz w:val="22"/>
        </w:rPr>
        <w:t>,</w:t>
      </w:r>
      <w:r w:rsidR="004B7D8F" w:rsidRPr="00B632E1">
        <w:rPr>
          <w:rFonts w:ascii="Garamond" w:hAnsi="Garamond"/>
          <w:sz w:val="22"/>
        </w:rPr>
        <w:t xml:space="preserve"> which are taken by managers of not-for-profit organisations as inflated salaries and perks</w:t>
      </w:r>
      <w:r w:rsidR="00EE654F" w:rsidRPr="008619FE">
        <w:rPr>
          <w:rFonts w:ascii="Garamond" w:hAnsi="Garamond"/>
          <w:sz w:val="22"/>
        </w:rPr>
        <w:t>,</w:t>
      </w:r>
      <w:r w:rsidR="004B7D8F" w:rsidRPr="00B632E1">
        <w:rPr>
          <w:rFonts w:ascii="Garamond" w:hAnsi="Garamond"/>
          <w:sz w:val="22"/>
        </w:rPr>
        <w:t xml:space="preserve"> in contrast to being taken as profits by the owners of a for-profit organisation.</w:t>
      </w:r>
      <w:r w:rsidR="00F36982" w:rsidRPr="004721D5">
        <w:rPr>
          <w:rFonts w:ascii="Garamond" w:hAnsi="Garamond"/>
          <w:sz w:val="22"/>
        </w:rPr>
        <w:t xml:space="preserve"> </w:t>
      </w:r>
      <w:r w:rsidR="004B7D8F" w:rsidRPr="004721D5">
        <w:rPr>
          <w:rFonts w:ascii="Garamond" w:hAnsi="Garamond"/>
          <w:sz w:val="22"/>
        </w:rPr>
        <w:t>Or it might be a public</w:t>
      </w:r>
      <w:r w:rsidR="00366861">
        <w:rPr>
          <w:rFonts w:ascii="Garamond" w:hAnsi="Garamond"/>
          <w:sz w:val="22"/>
        </w:rPr>
        <w:t>-</w:t>
      </w:r>
      <w:r w:rsidR="004B7D8F" w:rsidRPr="004721D5">
        <w:rPr>
          <w:rFonts w:ascii="Garamond" w:hAnsi="Garamond"/>
          <w:sz w:val="22"/>
        </w:rPr>
        <w:t>spirited consortium of locals who believe they can do a better job of running their university than the incumbents.</w:t>
      </w:r>
      <w:r w:rsidR="009034D0">
        <w:rPr>
          <w:rFonts w:ascii="Garamond" w:hAnsi="Garamond"/>
          <w:sz w:val="22"/>
        </w:rPr>
        <w:t xml:space="preserve"> </w:t>
      </w:r>
      <w:r w:rsidR="004B7D8F" w:rsidRPr="004721D5">
        <w:rPr>
          <w:rFonts w:ascii="Garamond" w:hAnsi="Garamond"/>
          <w:sz w:val="22"/>
        </w:rPr>
        <w:t>Either way the threat of takeover can discipline the incumbent management and improve outcomes, even if takeovers don</w:t>
      </w:r>
      <w:r w:rsidR="00E75228" w:rsidRPr="004721D5">
        <w:rPr>
          <w:rFonts w:ascii="Garamond" w:hAnsi="Garamond"/>
          <w:sz w:val="22"/>
        </w:rPr>
        <w:t>’</w:t>
      </w:r>
      <w:r w:rsidR="004B7D8F" w:rsidRPr="004721D5">
        <w:rPr>
          <w:rFonts w:ascii="Garamond" w:hAnsi="Garamond"/>
          <w:sz w:val="22"/>
        </w:rPr>
        <w:t>t happen.</w:t>
      </w:r>
    </w:p>
    <w:p w14:paraId="44855305" w14:textId="0769B4CD" w:rsidR="00A068BE" w:rsidRPr="004721D5" w:rsidRDefault="00A068BE" w:rsidP="00891385">
      <w:pPr>
        <w:contextualSpacing/>
        <w:rPr>
          <w:rFonts w:ascii="Garamond" w:hAnsi="Garamond"/>
          <w:sz w:val="22"/>
        </w:rPr>
      </w:pPr>
      <w:r w:rsidRPr="004721D5">
        <w:rPr>
          <w:rFonts w:ascii="Garamond" w:hAnsi="Garamond"/>
          <w:b/>
          <w:sz w:val="22"/>
        </w:rPr>
        <w:t xml:space="preserve">Fight the threat </w:t>
      </w:r>
      <w:r w:rsidR="00EE654F">
        <w:rPr>
          <w:rFonts w:ascii="Garamond" w:hAnsi="Garamond"/>
          <w:b/>
          <w:sz w:val="22"/>
        </w:rPr>
        <w:t xml:space="preserve">of </w:t>
      </w:r>
      <w:r w:rsidRPr="004721D5">
        <w:rPr>
          <w:rFonts w:ascii="Garamond" w:hAnsi="Garamond"/>
          <w:b/>
          <w:sz w:val="22"/>
        </w:rPr>
        <w:t>tying accreditation to enterprise agreements with unions</w:t>
      </w:r>
      <w:r w:rsidRPr="003942B4">
        <w:rPr>
          <w:rFonts w:ascii="Garamond" w:hAnsi="Garamond"/>
          <w:b/>
          <w:sz w:val="22"/>
        </w:rPr>
        <w:t>.</w:t>
      </w:r>
      <w:r w:rsidR="00F36982" w:rsidRPr="004721D5">
        <w:rPr>
          <w:rFonts w:ascii="Garamond" w:hAnsi="Garamond"/>
          <w:sz w:val="22"/>
        </w:rPr>
        <w:t xml:space="preserve"> </w:t>
      </w:r>
      <w:r w:rsidR="00E75228" w:rsidRPr="004721D5">
        <w:rPr>
          <w:rFonts w:ascii="Garamond" w:hAnsi="Garamond"/>
          <w:sz w:val="22"/>
        </w:rPr>
        <w:t>One of the insidious trends in public policy is tying government contracts to</w:t>
      </w:r>
      <w:r w:rsidR="001C4350">
        <w:rPr>
          <w:rFonts w:ascii="Garamond" w:hAnsi="Garamond"/>
          <w:sz w:val="22"/>
        </w:rPr>
        <w:t xml:space="preserve"> so-called </w:t>
      </w:r>
      <w:r w:rsidR="00FF2FDB">
        <w:rPr>
          <w:rFonts w:ascii="Garamond" w:hAnsi="Garamond"/>
          <w:sz w:val="22"/>
        </w:rPr>
        <w:t>‘</w:t>
      </w:r>
      <w:r w:rsidR="00E75228" w:rsidRPr="004721D5">
        <w:rPr>
          <w:rFonts w:ascii="Garamond" w:hAnsi="Garamond"/>
          <w:sz w:val="22"/>
        </w:rPr>
        <w:t>best practise industrial relations arrangements</w:t>
      </w:r>
      <w:r w:rsidR="00FF2FDB">
        <w:rPr>
          <w:rFonts w:ascii="Garamond" w:hAnsi="Garamond"/>
          <w:sz w:val="22"/>
        </w:rPr>
        <w:t>’</w:t>
      </w:r>
      <w:r w:rsidR="00E75228" w:rsidRPr="004721D5">
        <w:rPr>
          <w:rFonts w:ascii="Garamond" w:hAnsi="Garamond"/>
          <w:sz w:val="22"/>
        </w:rPr>
        <w:t>, which is code for an enterprise agreement with the relevant union.</w:t>
      </w:r>
      <w:r w:rsidR="00F36982" w:rsidRPr="004721D5">
        <w:rPr>
          <w:rFonts w:ascii="Garamond" w:hAnsi="Garamond"/>
          <w:sz w:val="22"/>
        </w:rPr>
        <w:t xml:space="preserve"> </w:t>
      </w:r>
      <w:r w:rsidR="00E75228" w:rsidRPr="004721D5">
        <w:rPr>
          <w:rFonts w:ascii="Garamond" w:hAnsi="Garamond"/>
          <w:sz w:val="22"/>
        </w:rPr>
        <w:t>This gives the union massive power over the organisations, and it is not difficult to see this leading to ever more intrusive and efficiency destroying enterprise agreements with already cowering university managements. It is something to be vigorously resisted by taxpayers and students.</w:t>
      </w:r>
    </w:p>
    <w:p w14:paraId="1DEC85BF" w14:textId="0FAF6D21" w:rsidR="0072109C" w:rsidRPr="004721D5" w:rsidRDefault="00A068BE" w:rsidP="00A30292">
      <w:pPr>
        <w:contextualSpacing/>
        <w:rPr>
          <w:rFonts w:ascii="Garamond" w:hAnsi="Garamond"/>
          <w:sz w:val="22"/>
        </w:rPr>
      </w:pPr>
      <w:r w:rsidRPr="004721D5">
        <w:rPr>
          <w:rFonts w:ascii="Garamond" w:hAnsi="Garamond"/>
          <w:b/>
          <w:sz w:val="22"/>
        </w:rPr>
        <w:t>Reform undergraduate do</w:t>
      </w:r>
      <w:r w:rsidR="0072109C" w:rsidRPr="004721D5">
        <w:rPr>
          <w:rFonts w:ascii="Garamond" w:hAnsi="Garamond"/>
          <w:b/>
          <w:sz w:val="22"/>
        </w:rPr>
        <w:t>mestic student degree funding</w:t>
      </w:r>
      <w:r w:rsidR="0058288B" w:rsidRPr="003942B4">
        <w:rPr>
          <w:rFonts w:ascii="Garamond" w:hAnsi="Garamond"/>
          <w:b/>
          <w:sz w:val="22"/>
        </w:rPr>
        <w:t>.</w:t>
      </w:r>
      <w:r w:rsidR="00F36982" w:rsidRPr="004721D5">
        <w:rPr>
          <w:rFonts w:ascii="Garamond" w:hAnsi="Garamond"/>
          <w:sz w:val="22"/>
        </w:rPr>
        <w:t xml:space="preserve"> </w:t>
      </w:r>
      <w:r w:rsidR="0058288B" w:rsidRPr="004721D5">
        <w:rPr>
          <w:rFonts w:ascii="Garamond" w:hAnsi="Garamond"/>
          <w:sz w:val="22"/>
        </w:rPr>
        <w:t xml:space="preserve">The logic of the demand driven system links </w:t>
      </w:r>
      <w:r w:rsidR="00A30292" w:rsidRPr="004721D5">
        <w:rPr>
          <w:rFonts w:ascii="Garamond" w:hAnsi="Garamond"/>
          <w:sz w:val="22"/>
        </w:rPr>
        <w:t xml:space="preserve">government subsidies </w:t>
      </w:r>
      <w:r w:rsidRPr="004721D5">
        <w:rPr>
          <w:rFonts w:ascii="Garamond" w:hAnsi="Garamond"/>
          <w:sz w:val="22"/>
        </w:rPr>
        <w:t xml:space="preserve">to </w:t>
      </w:r>
      <w:r w:rsidR="0058288B" w:rsidRPr="004721D5">
        <w:rPr>
          <w:rFonts w:ascii="Garamond" w:hAnsi="Garamond"/>
          <w:sz w:val="22"/>
        </w:rPr>
        <w:t>enrolments in accredited degree programs</w:t>
      </w:r>
      <w:r w:rsidR="00DF780E" w:rsidRPr="004721D5">
        <w:rPr>
          <w:rFonts w:ascii="Garamond" w:hAnsi="Garamond"/>
          <w:sz w:val="22"/>
        </w:rPr>
        <w:t xml:space="preserve">. This should apply </w:t>
      </w:r>
      <w:r w:rsidRPr="004721D5">
        <w:rPr>
          <w:rFonts w:ascii="Garamond" w:hAnsi="Garamond"/>
          <w:sz w:val="22"/>
        </w:rPr>
        <w:t xml:space="preserve">regardless of whether </w:t>
      </w:r>
      <w:r w:rsidR="00A30292" w:rsidRPr="004721D5">
        <w:rPr>
          <w:rFonts w:ascii="Garamond" w:hAnsi="Garamond"/>
          <w:sz w:val="22"/>
        </w:rPr>
        <w:t xml:space="preserve">the accredited degree program is in an institution that is </w:t>
      </w:r>
      <w:r w:rsidRPr="004721D5">
        <w:rPr>
          <w:rFonts w:ascii="Garamond" w:hAnsi="Garamond"/>
          <w:sz w:val="22"/>
        </w:rPr>
        <w:t>public or private, university or not.</w:t>
      </w:r>
      <w:r w:rsidR="00F36982" w:rsidRPr="004721D5">
        <w:rPr>
          <w:rFonts w:ascii="Garamond" w:hAnsi="Garamond"/>
          <w:sz w:val="22"/>
        </w:rPr>
        <w:t xml:space="preserve"> </w:t>
      </w:r>
      <w:r w:rsidR="00A30292" w:rsidRPr="004721D5">
        <w:rPr>
          <w:rFonts w:ascii="Garamond" w:hAnsi="Garamond"/>
          <w:sz w:val="22"/>
        </w:rPr>
        <w:t>At present this is not the case and needs to be fixed.</w:t>
      </w:r>
      <w:r w:rsidR="00EE654F">
        <w:rPr>
          <w:rFonts w:ascii="Garamond" w:hAnsi="Garamond"/>
          <w:sz w:val="22"/>
        </w:rPr>
        <w:t xml:space="preserve"> </w:t>
      </w:r>
      <w:r w:rsidR="0072109C" w:rsidRPr="004721D5">
        <w:rPr>
          <w:rFonts w:ascii="Garamond" w:hAnsi="Garamond"/>
          <w:sz w:val="22"/>
        </w:rPr>
        <w:t xml:space="preserve">Removing the iniquitous 25% FEE-HELP loading </w:t>
      </w:r>
      <w:r w:rsidR="00A30292" w:rsidRPr="004721D5">
        <w:rPr>
          <w:rFonts w:ascii="Garamond" w:hAnsi="Garamond"/>
          <w:sz w:val="22"/>
        </w:rPr>
        <w:t xml:space="preserve">on the debts of </w:t>
      </w:r>
      <w:r w:rsidR="0072109C" w:rsidRPr="004721D5">
        <w:rPr>
          <w:rFonts w:ascii="Garamond" w:hAnsi="Garamond"/>
          <w:sz w:val="22"/>
        </w:rPr>
        <w:t xml:space="preserve">students </w:t>
      </w:r>
      <w:r w:rsidR="00B3406E" w:rsidRPr="004721D5">
        <w:rPr>
          <w:rFonts w:ascii="Garamond" w:hAnsi="Garamond"/>
          <w:sz w:val="22"/>
        </w:rPr>
        <w:t xml:space="preserve">who choose </w:t>
      </w:r>
      <w:r w:rsidR="0072109C" w:rsidRPr="004721D5">
        <w:rPr>
          <w:rFonts w:ascii="Garamond" w:hAnsi="Garamond"/>
          <w:sz w:val="22"/>
        </w:rPr>
        <w:t>private providers</w:t>
      </w:r>
      <w:r w:rsidR="00A30292" w:rsidRPr="004721D5">
        <w:rPr>
          <w:rFonts w:ascii="Garamond" w:hAnsi="Garamond"/>
          <w:sz w:val="22"/>
        </w:rPr>
        <w:t xml:space="preserve"> is also needed</w:t>
      </w:r>
      <w:r w:rsidR="00B3406E" w:rsidRPr="004721D5">
        <w:rPr>
          <w:rFonts w:ascii="Garamond" w:hAnsi="Garamond"/>
          <w:sz w:val="22"/>
        </w:rPr>
        <w:t>.</w:t>
      </w:r>
    </w:p>
    <w:p w14:paraId="74BAB603" w14:textId="0CBBC93C" w:rsidR="005D24D3" w:rsidRPr="004721D5" w:rsidRDefault="00B40143" w:rsidP="00A30292">
      <w:pPr>
        <w:spacing w:after="200"/>
        <w:contextualSpacing/>
        <w:rPr>
          <w:rFonts w:ascii="Garamond" w:hAnsi="Garamond"/>
          <w:sz w:val="22"/>
        </w:rPr>
      </w:pPr>
      <w:r w:rsidRPr="004721D5">
        <w:rPr>
          <w:rFonts w:ascii="Garamond" w:hAnsi="Garamond"/>
          <w:sz w:val="22"/>
        </w:rPr>
        <w:t xml:space="preserve">A more radical </w:t>
      </w:r>
      <w:r w:rsidR="00A30292" w:rsidRPr="004721D5">
        <w:rPr>
          <w:rFonts w:ascii="Garamond" w:hAnsi="Garamond"/>
          <w:sz w:val="22"/>
        </w:rPr>
        <w:t xml:space="preserve">reform </w:t>
      </w:r>
      <w:r w:rsidRPr="004721D5">
        <w:rPr>
          <w:rFonts w:ascii="Garamond" w:hAnsi="Garamond"/>
          <w:sz w:val="22"/>
        </w:rPr>
        <w:t>would be to replace FEE-HELP with student debt bonds sold on financial markets.</w:t>
      </w:r>
      <w:r w:rsidR="00F36982" w:rsidRPr="004721D5">
        <w:rPr>
          <w:rFonts w:ascii="Garamond" w:hAnsi="Garamond"/>
          <w:sz w:val="22"/>
        </w:rPr>
        <w:t xml:space="preserve"> </w:t>
      </w:r>
      <w:r w:rsidR="00A30292" w:rsidRPr="004721D5">
        <w:rPr>
          <w:rFonts w:ascii="Garamond" w:hAnsi="Garamond"/>
          <w:sz w:val="22"/>
        </w:rPr>
        <w:t xml:space="preserve">This would </w:t>
      </w:r>
      <w:r w:rsidR="005D24D3" w:rsidRPr="004721D5">
        <w:rPr>
          <w:rFonts w:ascii="Garamond" w:hAnsi="Garamond"/>
          <w:sz w:val="22"/>
        </w:rPr>
        <w:t xml:space="preserve">cut out the government as a loss-taking middleman and </w:t>
      </w:r>
      <w:r w:rsidR="00A30292" w:rsidRPr="004721D5">
        <w:rPr>
          <w:rFonts w:ascii="Garamond" w:hAnsi="Garamond"/>
          <w:sz w:val="22"/>
        </w:rPr>
        <w:t xml:space="preserve">make </w:t>
      </w:r>
      <w:r w:rsidR="005D24D3" w:rsidRPr="004721D5">
        <w:rPr>
          <w:rFonts w:ascii="Garamond" w:hAnsi="Garamond"/>
          <w:sz w:val="22"/>
        </w:rPr>
        <w:t>higher education institutions</w:t>
      </w:r>
      <w:r w:rsidR="00A30292" w:rsidRPr="004721D5">
        <w:rPr>
          <w:rFonts w:ascii="Garamond" w:hAnsi="Garamond"/>
          <w:sz w:val="22"/>
        </w:rPr>
        <w:t xml:space="preserve"> responsible for </w:t>
      </w:r>
      <w:r w:rsidR="005D24D3" w:rsidRPr="004721D5">
        <w:rPr>
          <w:rFonts w:ascii="Garamond" w:hAnsi="Garamond"/>
          <w:sz w:val="22"/>
        </w:rPr>
        <w:t>the student debt generated by their degree programs</w:t>
      </w:r>
      <w:r w:rsidR="00A30292" w:rsidRPr="004721D5">
        <w:rPr>
          <w:rFonts w:ascii="Garamond" w:hAnsi="Garamond"/>
          <w:sz w:val="22"/>
        </w:rPr>
        <w:t>.</w:t>
      </w:r>
      <w:r w:rsidR="00F36982" w:rsidRPr="004721D5">
        <w:rPr>
          <w:rFonts w:ascii="Garamond" w:hAnsi="Garamond"/>
          <w:sz w:val="22"/>
        </w:rPr>
        <w:t xml:space="preserve"> </w:t>
      </w:r>
      <w:r w:rsidR="00A30292" w:rsidRPr="004721D5">
        <w:rPr>
          <w:rFonts w:ascii="Garamond" w:hAnsi="Garamond"/>
          <w:sz w:val="22"/>
        </w:rPr>
        <w:t xml:space="preserve">Instead of subsidies for enrolments and FEE-HELP funding flowing from the government to institutions, the institution would sell bonds representing the repayments on the student debt </w:t>
      </w:r>
      <w:r w:rsidR="005D24D3" w:rsidRPr="004721D5">
        <w:rPr>
          <w:rFonts w:ascii="Garamond" w:hAnsi="Garamond"/>
          <w:sz w:val="22"/>
        </w:rPr>
        <w:t>on financial markets.</w:t>
      </w:r>
      <w:r w:rsidR="00F36982" w:rsidRPr="004721D5">
        <w:rPr>
          <w:rFonts w:ascii="Garamond" w:hAnsi="Garamond"/>
          <w:sz w:val="22"/>
        </w:rPr>
        <w:t xml:space="preserve"> </w:t>
      </w:r>
      <w:r w:rsidR="005D24D3" w:rsidRPr="004721D5">
        <w:rPr>
          <w:rFonts w:ascii="Garamond" w:hAnsi="Garamond"/>
          <w:sz w:val="22"/>
        </w:rPr>
        <w:t xml:space="preserve">The government would still set the rules of the income contingent loan scheme, still set repayment thresholds and interest rates (perhaps in relation to some market benchmark), but financial institutions would bid for the debt of various </w:t>
      </w:r>
      <w:r w:rsidR="00A30292" w:rsidRPr="004721D5">
        <w:rPr>
          <w:rFonts w:ascii="Garamond" w:hAnsi="Garamond"/>
          <w:sz w:val="22"/>
        </w:rPr>
        <w:t xml:space="preserve">institutions </w:t>
      </w:r>
      <w:r w:rsidR="005D24D3" w:rsidRPr="004721D5">
        <w:rPr>
          <w:rFonts w:ascii="Garamond" w:hAnsi="Garamond"/>
          <w:sz w:val="22"/>
        </w:rPr>
        <w:t xml:space="preserve">degree programs. There would </w:t>
      </w:r>
      <w:r w:rsidR="00EE654F">
        <w:rPr>
          <w:rFonts w:ascii="Garamond" w:hAnsi="Garamond"/>
          <w:sz w:val="22"/>
        </w:rPr>
        <w:t xml:space="preserve">be </w:t>
      </w:r>
      <w:r w:rsidR="005D24D3" w:rsidRPr="004721D5">
        <w:rPr>
          <w:rFonts w:ascii="Garamond" w:hAnsi="Garamond"/>
          <w:sz w:val="22"/>
        </w:rPr>
        <w:t>no government guarantee offered on the student debt.</w:t>
      </w:r>
    </w:p>
    <w:p w14:paraId="3688217B" w14:textId="0B9B2F2F" w:rsidR="005D24D3" w:rsidRPr="004721D5" w:rsidRDefault="00CD534E" w:rsidP="00A30292">
      <w:pPr>
        <w:rPr>
          <w:rFonts w:ascii="Garamond" w:hAnsi="Garamond"/>
          <w:sz w:val="22"/>
        </w:rPr>
      </w:pPr>
      <w:r w:rsidRPr="004721D5">
        <w:rPr>
          <w:rFonts w:ascii="Garamond" w:hAnsi="Garamond"/>
          <w:sz w:val="22"/>
        </w:rPr>
        <w:t>With this reform</w:t>
      </w:r>
      <w:r w:rsidR="00B632E1">
        <w:rPr>
          <w:rFonts w:ascii="Garamond" w:hAnsi="Garamond"/>
          <w:sz w:val="22"/>
        </w:rPr>
        <w:t>,</w:t>
      </w:r>
      <w:r w:rsidRPr="004721D5">
        <w:rPr>
          <w:rFonts w:ascii="Garamond" w:hAnsi="Garamond"/>
          <w:sz w:val="22"/>
        </w:rPr>
        <w:t xml:space="preserve"> t</w:t>
      </w:r>
      <w:r w:rsidR="005D24D3" w:rsidRPr="004721D5">
        <w:rPr>
          <w:rFonts w:ascii="Garamond" w:hAnsi="Garamond"/>
          <w:sz w:val="22"/>
        </w:rPr>
        <w:t xml:space="preserve">here would still be the option for the government to provide supplementary funding to courses that have public benefits </w:t>
      </w:r>
      <w:proofErr w:type="gramStart"/>
      <w:r w:rsidR="005D24D3" w:rsidRPr="004721D5">
        <w:rPr>
          <w:rFonts w:ascii="Garamond" w:hAnsi="Garamond"/>
          <w:sz w:val="22"/>
        </w:rPr>
        <w:t>in excess of</w:t>
      </w:r>
      <w:proofErr w:type="gramEnd"/>
      <w:r w:rsidR="005D24D3" w:rsidRPr="004721D5">
        <w:rPr>
          <w:rFonts w:ascii="Garamond" w:hAnsi="Garamond"/>
          <w:sz w:val="22"/>
        </w:rPr>
        <w:t xml:space="preserve"> the private return to the student (such as nursing or teaching) or which are judged important for other reasons.</w:t>
      </w:r>
      <w:r w:rsidR="00F36982" w:rsidRPr="004721D5">
        <w:rPr>
          <w:rFonts w:ascii="Garamond" w:hAnsi="Garamond"/>
          <w:sz w:val="22"/>
        </w:rPr>
        <w:t xml:space="preserve"> </w:t>
      </w:r>
      <w:r w:rsidRPr="004721D5">
        <w:rPr>
          <w:rFonts w:ascii="Garamond" w:hAnsi="Garamond"/>
          <w:sz w:val="22"/>
        </w:rPr>
        <w:t>The point of the bond scheme would be to properly price the private returns from higher education.</w:t>
      </w:r>
    </w:p>
    <w:p w14:paraId="082B315A" w14:textId="77777777" w:rsidR="005D24D3" w:rsidRPr="004721D5" w:rsidRDefault="00CD534E" w:rsidP="00A30292">
      <w:pPr>
        <w:rPr>
          <w:rFonts w:ascii="Garamond" w:hAnsi="Garamond"/>
          <w:sz w:val="22"/>
        </w:rPr>
      </w:pPr>
      <w:r w:rsidRPr="004721D5">
        <w:rPr>
          <w:rFonts w:ascii="Garamond" w:hAnsi="Garamond"/>
          <w:sz w:val="22"/>
        </w:rPr>
        <w:t>Financial markets c</w:t>
      </w:r>
      <w:r w:rsidR="005D24D3" w:rsidRPr="004721D5">
        <w:rPr>
          <w:rFonts w:ascii="Garamond" w:hAnsi="Garamond"/>
          <w:sz w:val="22"/>
        </w:rPr>
        <w:t>ould</w:t>
      </w:r>
      <w:r w:rsidRPr="004721D5">
        <w:rPr>
          <w:rFonts w:ascii="Garamond" w:hAnsi="Garamond"/>
          <w:sz w:val="22"/>
        </w:rPr>
        <w:t xml:space="preserve"> be expected to</w:t>
      </w:r>
      <w:r w:rsidR="005D24D3" w:rsidRPr="004721D5">
        <w:rPr>
          <w:rFonts w:ascii="Garamond" w:hAnsi="Garamond"/>
          <w:sz w:val="22"/>
        </w:rPr>
        <w:t xml:space="preserve"> price the private return on degrees (based on likely incomes for the graduate) reasonably accurately because actuaries they employ are trained to make these calculations, and the </w:t>
      </w:r>
      <w:r w:rsidRPr="004721D5">
        <w:rPr>
          <w:rFonts w:ascii="Garamond" w:hAnsi="Garamond"/>
          <w:sz w:val="22"/>
        </w:rPr>
        <w:t xml:space="preserve">large </w:t>
      </w:r>
      <w:r w:rsidR="005D24D3" w:rsidRPr="004721D5">
        <w:rPr>
          <w:rFonts w:ascii="Garamond" w:hAnsi="Garamond"/>
          <w:sz w:val="22"/>
        </w:rPr>
        <w:t xml:space="preserve">sums involved mean it will be a thick market (in other words a market where there is enough trading volume). To facilitate the market the government may even continue to recover income contingent loan debts </w:t>
      </w:r>
      <w:r w:rsidR="005D24D3" w:rsidRPr="004721D5">
        <w:rPr>
          <w:rFonts w:ascii="Garamond" w:hAnsi="Garamond"/>
          <w:sz w:val="22"/>
        </w:rPr>
        <w:lastRenderedPageBreak/>
        <w:t>through the tax system and transfer the funds to the financial institution which has bought the debt from the university.</w:t>
      </w:r>
    </w:p>
    <w:p w14:paraId="30634E76" w14:textId="044D8030" w:rsidR="005D24D3" w:rsidRPr="004721D5" w:rsidRDefault="005D24D3" w:rsidP="00A30292">
      <w:pPr>
        <w:rPr>
          <w:rFonts w:ascii="Garamond" w:hAnsi="Garamond"/>
          <w:sz w:val="22"/>
        </w:rPr>
      </w:pPr>
      <w:r w:rsidRPr="004721D5">
        <w:rPr>
          <w:rFonts w:ascii="Garamond" w:hAnsi="Garamond"/>
          <w:sz w:val="22"/>
        </w:rPr>
        <w:t xml:space="preserve">The main advantage of </w:t>
      </w:r>
      <w:r w:rsidR="00CD534E" w:rsidRPr="004721D5">
        <w:rPr>
          <w:rFonts w:ascii="Garamond" w:hAnsi="Garamond"/>
          <w:sz w:val="22"/>
        </w:rPr>
        <w:t xml:space="preserve">this reform </w:t>
      </w:r>
      <w:r w:rsidR="00B632E1">
        <w:rPr>
          <w:rFonts w:ascii="Garamond" w:hAnsi="Garamond"/>
          <w:sz w:val="22"/>
        </w:rPr>
        <w:t>is</w:t>
      </w:r>
      <w:r w:rsidR="00CD534E" w:rsidRPr="004721D5">
        <w:rPr>
          <w:rFonts w:ascii="Garamond" w:hAnsi="Garamond"/>
          <w:sz w:val="22"/>
        </w:rPr>
        <w:t xml:space="preserve"> </w:t>
      </w:r>
      <w:r w:rsidRPr="004721D5">
        <w:rPr>
          <w:rFonts w:ascii="Garamond" w:hAnsi="Garamond"/>
          <w:sz w:val="22"/>
        </w:rPr>
        <w:t>that university administrators would get immediate signals of the worth of the degree programs they are offering. It is important the signals are immediate</w:t>
      </w:r>
      <w:r w:rsidR="004721D5">
        <w:rPr>
          <w:rFonts w:ascii="Garamond" w:hAnsi="Garamond"/>
          <w:sz w:val="22"/>
        </w:rPr>
        <w:t>,</w:t>
      </w:r>
      <w:r w:rsidRPr="004721D5">
        <w:rPr>
          <w:rFonts w:ascii="Garamond" w:hAnsi="Garamond"/>
          <w:sz w:val="22"/>
        </w:rPr>
        <w:t xml:space="preserve"> so they impact current administrator behaviour</w:t>
      </w:r>
      <w:r w:rsidR="004721D5">
        <w:rPr>
          <w:rFonts w:ascii="Garamond" w:hAnsi="Garamond"/>
          <w:sz w:val="22"/>
        </w:rPr>
        <w:t>,</w:t>
      </w:r>
      <w:r w:rsidRPr="004721D5">
        <w:rPr>
          <w:rFonts w:ascii="Garamond" w:hAnsi="Garamond"/>
          <w:sz w:val="22"/>
        </w:rPr>
        <w:t xml:space="preserve"> making administrators think twice about behaviour that reduces the value of degrees to boost student numbers.</w:t>
      </w:r>
    </w:p>
    <w:p w14:paraId="7E7C11BB" w14:textId="43521D10" w:rsidR="005D24D3" w:rsidRPr="00E37CBF" w:rsidRDefault="005D24D3" w:rsidP="005D24D3">
      <w:pPr>
        <w:rPr>
          <w:rFonts w:ascii="Garamond" w:hAnsi="Garamond"/>
          <w:sz w:val="22"/>
        </w:rPr>
      </w:pPr>
      <w:r w:rsidRPr="004721D5">
        <w:rPr>
          <w:rFonts w:ascii="Garamond" w:hAnsi="Garamond"/>
          <w:sz w:val="22"/>
        </w:rPr>
        <w:t>The prices obtained for the student debt generated by various university degree programs would be public knowledge.</w:t>
      </w:r>
      <w:r w:rsidR="00F36982" w:rsidRPr="004721D5">
        <w:rPr>
          <w:rFonts w:ascii="Garamond" w:hAnsi="Garamond"/>
          <w:sz w:val="22"/>
        </w:rPr>
        <w:t xml:space="preserve"> </w:t>
      </w:r>
      <w:r w:rsidRPr="004721D5">
        <w:rPr>
          <w:rFonts w:ascii="Garamond" w:hAnsi="Garamond"/>
          <w:sz w:val="22"/>
        </w:rPr>
        <w:t xml:space="preserve">This would provide potential students much better information about the worth of alternative degree programs than problematic information </w:t>
      </w:r>
      <w:r w:rsidR="00B632E1">
        <w:rPr>
          <w:rFonts w:ascii="Garamond" w:hAnsi="Garamond"/>
          <w:sz w:val="22"/>
        </w:rPr>
        <w:t xml:space="preserve">currently </w:t>
      </w:r>
      <w:r w:rsidRPr="004721D5">
        <w:rPr>
          <w:rFonts w:ascii="Garamond" w:hAnsi="Garamond"/>
          <w:sz w:val="22"/>
        </w:rPr>
        <w:t>provided by published minimum ATARs for entry into degree programs, or by the information provided by commercially published guides</w:t>
      </w:r>
      <w:r w:rsidR="00B632E1">
        <w:rPr>
          <w:rFonts w:ascii="Garamond" w:hAnsi="Garamond"/>
          <w:sz w:val="22"/>
        </w:rPr>
        <w:t>. Especially as these guides</w:t>
      </w:r>
      <w:r w:rsidRPr="004721D5">
        <w:rPr>
          <w:rFonts w:ascii="Garamond" w:hAnsi="Garamond"/>
          <w:sz w:val="22"/>
        </w:rPr>
        <w:t xml:space="preserve"> rely on advertising from the universities</w:t>
      </w:r>
      <w:r w:rsidRPr="00E37CBF">
        <w:rPr>
          <w:rFonts w:ascii="Garamond" w:hAnsi="Garamond"/>
          <w:sz w:val="22"/>
        </w:rPr>
        <w:t xml:space="preserve">, </w:t>
      </w:r>
      <w:r w:rsidR="00B632E1">
        <w:rPr>
          <w:rFonts w:ascii="Garamond" w:hAnsi="Garamond"/>
          <w:sz w:val="22"/>
        </w:rPr>
        <w:t>and</w:t>
      </w:r>
      <w:r w:rsidRPr="00E37CBF">
        <w:rPr>
          <w:rFonts w:ascii="Garamond" w:hAnsi="Garamond"/>
          <w:sz w:val="22"/>
        </w:rPr>
        <w:t xml:space="preserve"> in some cases</w:t>
      </w:r>
      <w:r w:rsidR="00FC3A27">
        <w:rPr>
          <w:rFonts w:ascii="Garamond" w:hAnsi="Garamond"/>
          <w:sz w:val="22"/>
        </w:rPr>
        <w:t>,</w:t>
      </w:r>
      <w:r w:rsidRPr="00E37CBF">
        <w:rPr>
          <w:rFonts w:ascii="Garamond" w:hAnsi="Garamond"/>
          <w:sz w:val="22"/>
        </w:rPr>
        <w:t xml:space="preserve"> are even owned by the universities. Better information would improve student choice. Better information </w:t>
      </w:r>
      <w:r w:rsidR="00A823CD">
        <w:rPr>
          <w:rFonts w:ascii="Garamond" w:hAnsi="Garamond"/>
          <w:sz w:val="22"/>
        </w:rPr>
        <w:t>could potentially</w:t>
      </w:r>
      <w:r w:rsidRPr="00E37CBF">
        <w:rPr>
          <w:rFonts w:ascii="Garamond" w:hAnsi="Garamond"/>
          <w:sz w:val="22"/>
        </w:rPr>
        <w:t xml:space="preserve"> reduce the attraction for universities to spend large amounts on advertising.</w:t>
      </w:r>
    </w:p>
    <w:p w14:paraId="285A85E0" w14:textId="07323F17" w:rsidR="005D24D3" w:rsidRPr="00E37CBF" w:rsidRDefault="005D24D3" w:rsidP="005D24D3">
      <w:pPr>
        <w:rPr>
          <w:rFonts w:ascii="Garamond" w:hAnsi="Garamond"/>
          <w:sz w:val="22"/>
        </w:rPr>
      </w:pPr>
      <w:r w:rsidRPr="00E37CBF">
        <w:rPr>
          <w:rFonts w:ascii="Garamond" w:hAnsi="Garamond"/>
          <w:sz w:val="22"/>
        </w:rPr>
        <w:t>A wise colleague suggested the price obtained in financial markets by some institutions for some degree programs would be derisory.</w:t>
      </w:r>
      <w:r w:rsidR="00F36982" w:rsidRPr="00E37CBF">
        <w:rPr>
          <w:rFonts w:ascii="Garamond" w:hAnsi="Garamond"/>
          <w:sz w:val="22"/>
        </w:rPr>
        <w:t xml:space="preserve"> </w:t>
      </w:r>
      <w:r w:rsidRPr="00E37CBF">
        <w:rPr>
          <w:rFonts w:ascii="Garamond" w:hAnsi="Garamond"/>
          <w:sz w:val="22"/>
        </w:rPr>
        <w:t>I can think of business degree programs of a few universities</w:t>
      </w:r>
      <w:r w:rsidR="00930F53">
        <w:rPr>
          <w:rFonts w:ascii="Garamond" w:hAnsi="Garamond"/>
          <w:sz w:val="22"/>
        </w:rPr>
        <w:t xml:space="preserve"> for which </w:t>
      </w:r>
      <w:r w:rsidRPr="00E37CBF">
        <w:rPr>
          <w:rFonts w:ascii="Garamond" w:hAnsi="Garamond"/>
          <w:sz w:val="22"/>
        </w:rPr>
        <w:t xml:space="preserve">I’d </w:t>
      </w:r>
      <w:r w:rsidR="00D2089F">
        <w:rPr>
          <w:rFonts w:ascii="Garamond" w:hAnsi="Garamond"/>
          <w:sz w:val="22"/>
        </w:rPr>
        <w:t xml:space="preserve">hesitate </w:t>
      </w:r>
      <w:proofErr w:type="gramStart"/>
      <w:r w:rsidR="00D2089F">
        <w:rPr>
          <w:rFonts w:ascii="Garamond" w:hAnsi="Garamond"/>
          <w:sz w:val="22"/>
        </w:rPr>
        <w:t xml:space="preserve">to </w:t>
      </w:r>
      <w:r w:rsidRPr="00E37CBF">
        <w:rPr>
          <w:rFonts w:ascii="Garamond" w:hAnsi="Garamond"/>
          <w:sz w:val="22"/>
        </w:rPr>
        <w:t xml:space="preserve"> offer</w:t>
      </w:r>
      <w:proofErr w:type="gramEnd"/>
      <w:r w:rsidRPr="00E37CBF">
        <w:rPr>
          <w:rFonts w:ascii="Garamond" w:hAnsi="Garamond"/>
          <w:sz w:val="22"/>
        </w:rPr>
        <w:t xml:space="preserve"> twenty </w:t>
      </w:r>
      <w:r w:rsidR="00D2089F">
        <w:rPr>
          <w:rFonts w:ascii="Garamond" w:hAnsi="Garamond"/>
          <w:sz w:val="22"/>
        </w:rPr>
        <w:t xml:space="preserve">dollars </w:t>
      </w:r>
      <w:r w:rsidRPr="00E37CBF">
        <w:rPr>
          <w:rFonts w:ascii="Garamond" w:hAnsi="Garamond"/>
          <w:sz w:val="22"/>
        </w:rPr>
        <w:t>for</w:t>
      </w:r>
      <w:r w:rsidR="0080448D">
        <w:rPr>
          <w:rFonts w:ascii="Garamond" w:hAnsi="Garamond"/>
          <w:sz w:val="22"/>
        </w:rPr>
        <w:t xml:space="preserve"> the student </w:t>
      </w:r>
      <w:r w:rsidR="002E2C85">
        <w:rPr>
          <w:rFonts w:ascii="Garamond" w:hAnsi="Garamond"/>
          <w:sz w:val="22"/>
        </w:rPr>
        <w:t>debts generate</w:t>
      </w:r>
      <w:r w:rsidR="0080448D">
        <w:rPr>
          <w:rFonts w:ascii="Garamond" w:hAnsi="Garamond"/>
          <w:sz w:val="22"/>
        </w:rPr>
        <w:t>d</w:t>
      </w:r>
      <w:r w:rsidRPr="00E37CBF">
        <w:rPr>
          <w:rFonts w:ascii="Garamond" w:hAnsi="Garamond"/>
          <w:sz w:val="22"/>
        </w:rPr>
        <w:t>.</w:t>
      </w:r>
      <w:r w:rsidR="009034D0">
        <w:rPr>
          <w:rFonts w:ascii="Garamond" w:hAnsi="Garamond"/>
          <w:sz w:val="22"/>
        </w:rPr>
        <w:t xml:space="preserve"> </w:t>
      </w:r>
      <w:r w:rsidRPr="00E37CBF">
        <w:rPr>
          <w:rFonts w:ascii="Garamond" w:hAnsi="Garamond"/>
          <w:sz w:val="22"/>
        </w:rPr>
        <w:t>Financial markets may even price the debt generated by some degree programs at zero, after administration costs.</w:t>
      </w:r>
    </w:p>
    <w:p w14:paraId="1A9378A0" w14:textId="4031C0B6" w:rsidR="005D24D3" w:rsidRPr="00E37CBF" w:rsidRDefault="005D24D3" w:rsidP="00891385">
      <w:pPr>
        <w:rPr>
          <w:rFonts w:ascii="Garamond" w:hAnsi="Garamond"/>
          <w:sz w:val="22"/>
        </w:rPr>
      </w:pPr>
      <w:r w:rsidRPr="00E37CBF">
        <w:rPr>
          <w:rFonts w:ascii="Garamond" w:hAnsi="Garamond"/>
          <w:sz w:val="22"/>
        </w:rPr>
        <w:t>If financial markets do not value the income earning potential of certain degree programs highly that would be a much</w:t>
      </w:r>
      <w:r w:rsidR="00A823CD">
        <w:rPr>
          <w:rFonts w:ascii="Garamond" w:hAnsi="Garamond"/>
          <w:sz w:val="22"/>
        </w:rPr>
        <w:t>-</w:t>
      </w:r>
      <w:r w:rsidRPr="00E37CBF">
        <w:rPr>
          <w:rFonts w:ascii="Garamond" w:hAnsi="Garamond"/>
          <w:sz w:val="22"/>
        </w:rPr>
        <w:t xml:space="preserve">needed wake-up call for some administrators in the sector. Though no doubt the </w:t>
      </w:r>
      <w:r w:rsidR="00CD534E" w:rsidRPr="00E37CBF">
        <w:rPr>
          <w:rFonts w:ascii="Garamond" w:hAnsi="Garamond"/>
          <w:sz w:val="22"/>
        </w:rPr>
        <w:t xml:space="preserve">reform </w:t>
      </w:r>
      <w:r w:rsidRPr="00E37CBF">
        <w:rPr>
          <w:rFonts w:ascii="Garamond" w:hAnsi="Garamond"/>
          <w:sz w:val="22"/>
        </w:rPr>
        <w:t>proposal would go down like a lead balloon with university vice-chancellors.</w:t>
      </w:r>
    </w:p>
    <w:p w14:paraId="7F36416E" w14:textId="620522F6" w:rsidR="008C4862" w:rsidRDefault="00CD534E" w:rsidP="008C4862">
      <w:pPr>
        <w:rPr>
          <w:rFonts w:ascii="Garamond" w:hAnsi="Garamond"/>
          <w:sz w:val="22"/>
        </w:rPr>
      </w:pPr>
      <w:r w:rsidRPr="00E37CBF">
        <w:rPr>
          <w:rFonts w:ascii="Garamond" w:hAnsi="Garamond"/>
          <w:b/>
          <w:sz w:val="22"/>
        </w:rPr>
        <w:t>Open PhD f</w:t>
      </w:r>
      <w:r w:rsidR="00A068BE" w:rsidRPr="00E37CBF">
        <w:rPr>
          <w:rFonts w:ascii="Garamond" w:hAnsi="Garamond"/>
          <w:b/>
          <w:sz w:val="22"/>
        </w:rPr>
        <w:t xml:space="preserve">unding through </w:t>
      </w:r>
      <w:r w:rsidR="005D24D3" w:rsidRPr="00E37CBF">
        <w:rPr>
          <w:rFonts w:ascii="Garamond" w:hAnsi="Garamond"/>
          <w:b/>
          <w:sz w:val="22"/>
        </w:rPr>
        <w:t xml:space="preserve">the government’s Research Training </w:t>
      </w:r>
      <w:r w:rsidR="00A068BE" w:rsidRPr="00E37CBF">
        <w:rPr>
          <w:rFonts w:ascii="Garamond" w:hAnsi="Garamond"/>
          <w:b/>
          <w:sz w:val="22"/>
        </w:rPr>
        <w:t>S</w:t>
      </w:r>
      <w:r w:rsidR="005D24D3" w:rsidRPr="00E37CBF">
        <w:rPr>
          <w:rFonts w:ascii="Garamond" w:hAnsi="Garamond"/>
          <w:b/>
          <w:sz w:val="22"/>
        </w:rPr>
        <w:t>cheme to all accredited PhD programs</w:t>
      </w:r>
      <w:r w:rsidR="00A068BE" w:rsidRPr="003942B4">
        <w:rPr>
          <w:rFonts w:ascii="Garamond" w:hAnsi="Garamond"/>
          <w:b/>
          <w:sz w:val="22"/>
        </w:rPr>
        <w:t>.</w:t>
      </w:r>
      <w:r w:rsidR="00F36982" w:rsidRPr="00E37CBF">
        <w:rPr>
          <w:rFonts w:ascii="Garamond" w:hAnsi="Garamond"/>
          <w:sz w:val="22"/>
        </w:rPr>
        <w:t xml:space="preserve"> </w:t>
      </w:r>
      <w:r w:rsidR="00B3406E" w:rsidRPr="00E37CBF">
        <w:rPr>
          <w:rFonts w:ascii="Garamond" w:hAnsi="Garamond" w:cstheme="minorHAnsi"/>
          <w:color w:val="000000"/>
          <w:sz w:val="22"/>
        </w:rPr>
        <w:t>I have been PhD Program Director at Alphacrucis for the last three years</w:t>
      </w:r>
      <w:r w:rsidR="008D75F7">
        <w:rPr>
          <w:rFonts w:ascii="Garamond" w:hAnsi="Garamond" w:cstheme="minorHAnsi"/>
          <w:color w:val="000000"/>
          <w:sz w:val="22"/>
        </w:rPr>
        <w:t>,</w:t>
      </w:r>
      <w:bookmarkStart w:id="0" w:name="_GoBack"/>
      <w:bookmarkEnd w:id="0"/>
      <w:r w:rsidR="00B3406E" w:rsidRPr="00E37CBF">
        <w:rPr>
          <w:rFonts w:ascii="Garamond" w:hAnsi="Garamond" w:cstheme="minorHAnsi"/>
          <w:color w:val="000000"/>
          <w:sz w:val="22"/>
        </w:rPr>
        <w:t xml:space="preserve"> and talked with many students who would have enrolled with us if they could bring with them the government living-allowance scholarships only tenable at universities, or if we could match the zero-fees offer from universities who receive approximately $50,000 per-student government subsidies.</w:t>
      </w:r>
      <w:r w:rsidR="00F36982" w:rsidRPr="00E37CBF">
        <w:rPr>
          <w:rFonts w:ascii="Garamond" w:hAnsi="Garamond" w:cstheme="minorHAnsi"/>
          <w:color w:val="000000"/>
          <w:sz w:val="22"/>
        </w:rPr>
        <w:t xml:space="preserve"> </w:t>
      </w:r>
      <w:r w:rsidR="00B3406E" w:rsidRPr="00E37CBF">
        <w:rPr>
          <w:rFonts w:ascii="Garamond" w:hAnsi="Garamond" w:cstheme="minorHAnsi"/>
          <w:color w:val="000000"/>
          <w:sz w:val="22"/>
        </w:rPr>
        <w:t>Our PhD completions attract a government subsidy of $0 even though accredited by TEQSA according to the same standards.</w:t>
      </w:r>
      <w:r w:rsidR="00F36982" w:rsidRPr="00E37CBF">
        <w:rPr>
          <w:rFonts w:ascii="Garamond" w:hAnsi="Garamond" w:cstheme="minorHAnsi"/>
          <w:color w:val="000000"/>
          <w:sz w:val="22"/>
        </w:rPr>
        <w:t xml:space="preserve"> </w:t>
      </w:r>
      <w:r w:rsidR="00181585" w:rsidRPr="00E37CBF">
        <w:rPr>
          <w:rFonts w:ascii="Garamond" w:hAnsi="Garamond" w:cstheme="minorHAnsi"/>
          <w:color w:val="000000"/>
          <w:sz w:val="22"/>
        </w:rPr>
        <w:t>This is n</w:t>
      </w:r>
      <w:r w:rsidR="00B3406E" w:rsidRPr="00E37CBF">
        <w:rPr>
          <w:rFonts w:ascii="Garamond" w:hAnsi="Garamond" w:cstheme="minorHAnsi"/>
          <w:color w:val="000000"/>
          <w:sz w:val="22"/>
        </w:rPr>
        <w:t>ot just a fairness issue but an efficiency issue</w:t>
      </w:r>
      <w:r w:rsidR="00AB2247">
        <w:rPr>
          <w:rFonts w:ascii="Garamond" w:hAnsi="Garamond" w:cstheme="minorHAnsi"/>
          <w:color w:val="000000"/>
          <w:sz w:val="22"/>
        </w:rPr>
        <w:t>.  S</w:t>
      </w:r>
      <w:r w:rsidR="00181585" w:rsidRPr="00E37CBF">
        <w:rPr>
          <w:rFonts w:ascii="Garamond" w:hAnsi="Garamond" w:cstheme="minorHAnsi"/>
          <w:color w:val="000000"/>
          <w:sz w:val="22"/>
        </w:rPr>
        <w:t xml:space="preserve">tudents choosing an inferior PhD program at a public university because of the government subsidy means the government is not getting the best value it can for the limited research dollar it has to spend. </w:t>
      </w:r>
      <w:r w:rsidR="00181585" w:rsidRPr="00FC3A27">
        <w:rPr>
          <w:rFonts w:ascii="Garamond" w:hAnsi="Garamond" w:cstheme="minorHAnsi"/>
          <w:sz w:val="22"/>
        </w:rPr>
        <w:t>Funding all accredited PhD programs regardless of the institution they sit in would improve efficiency and be b</w:t>
      </w:r>
      <w:r w:rsidR="00B3406E" w:rsidRPr="00FC3A27">
        <w:rPr>
          <w:rFonts w:ascii="Garamond" w:hAnsi="Garamond"/>
          <w:sz w:val="22"/>
        </w:rPr>
        <w:t>udget neutral</w:t>
      </w:r>
      <w:r w:rsidR="00FC3A27">
        <w:rPr>
          <w:rFonts w:ascii="Garamond" w:hAnsi="Garamond"/>
          <w:sz w:val="22"/>
        </w:rPr>
        <w:t>,</w:t>
      </w:r>
      <w:r w:rsidR="00B3406E" w:rsidRPr="00FC3A27">
        <w:rPr>
          <w:rFonts w:ascii="Garamond" w:hAnsi="Garamond"/>
          <w:sz w:val="22"/>
        </w:rPr>
        <w:t xml:space="preserve"> as </w:t>
      </w:r>
      <w:r w:rsidR="00EA5FCB" w:rsidRPr="00FC3A27">
        <w:rPr>
          <w:rFonts w:ascii="Garamond" w:hAnsi="Garamond"/>
          <w:sz w:val="22"/>
        </w:rPr>
        <w:t xml:space="preserve">the </w:t>
      </w:r>
      <w:r w:rsidR="00B3406E" w:rsidRPr="00FC3A27">
        <w:rPr>
          <w:rFonts w:ascii="Garamond" w:hAnsi="Garamond"/>
          <w:sz w:val="22"/>
        </w:rPr>
        <w:t xml:space="preserve">number of students would not change </w:t>
      </w:r>
      <w:r w:rsidR="00FC3A27">
        <w:rPr>
          <w:rFonts w:ascii="Garamond" w:hAnsi="Garamond"/>
          <w:sz w:val="22"/>
        </w:rPr>
        <w:t xml:space="preserve">but are simply </w:t>
      </w:r>
      <w:r w:rsidR="00B3406E" w:rsidRPr="00FC3A27">
        <w:rPr>
          <w:rFonts w:ascii="Garamond" w:hAnsi="Garamond"/>
          <w:sz w:val="22"/>
        </w:rPr>
        <w:t xml:space="preserve">reallocated between </w:t>
      </w:r>
      <w:r w:rsidR="008C4862">
        <w:rPr>
          <w:rFonts w:ascii="Garamond" w:hAnsi="Garamond"/>
          <w:sz w:val="22"/>
        </w:rPr>
        <w:t>institutions.</w:t>
      </w:r>
    </w:p>
    <w:p w14:paraId="00EEEB22" w14:textId="333EB6E2" w:rsidR="00EA5FCB" w:rsidRDefault="008C4862" w:rsidP="008C4862">
      <w:pPr>
        <w:rPr>
          <w:rFonts w:ascii="Garamond" w:hAnsi="Garamond"/>
          <w:sz w:val="22"/>
        </w:rPr>
      </w:pPr>
      <w:r>
        <w:rPr>
          <w:rFonts w:ascii="Garamond" w:hAnsi="Garamond"/>
          <w:b/>
          <w:sz w:val="22"/>
        </w:rPr>
        <w:t>Open</w:t>
      </w:r>
      <w:r w:rsidR="0072109C" w:rsidRPr="00E37CBF">
        <w:rPr>
          <w:rFonts w:ascii="Garamond" w:hAnsi="Garamond"/>
          <w:b/>
          <w:sz w:val="22"/>
        </w:rPr>
        <w:t xml:space="preserve"> ARC research funding to private providers</w:t>
      </w:r>
      <w:r w:rsidR="0072109C" w:rsidRPr="00E37CBF">
        <w:rPr>
          <w:rFonts w:ascii="Garamond" w:hAnsi="Garamond"/>
          <w:sz w:val="22"/>
        </w:rPr>
        <w:t>.</w:t>
      </w:r>
      <w:r w:rsidR="009034D0">
        <w:rPr>
          <w:rFonts w:ascii="Garamond" w:hAnsi="Garamond"/>
          <w:sz w:val="22"/>
        </w:rPr>
        <w:t xml:space="preserve"> </w:t>
      </w:r>
      <w:r w:rsidR="00181585" w:rsidRPr="00E37CBF">
        <w:rPr>
          <w:rFonts w:ascii="Garamond" w:hAnsi="Garamond"/>
          <w:sz w:val="22"/>
        </w:rPr>
        <w:t>Again</w:t>
      </w:r>
      <w:r w:rsidR="00FC3A27">
        <w:rPr>
          <w:rFonts w:ascii="Garamond" w:hAnsi="Garamond"/>
          <w:sz w:val="22"/>
        </w:rPr>
        <w:t>,</w:t>
      </w:r>
      <w:r w:rsidR="00181585" w:rsidRPr="00E37CBF">
        <w:rPr>
          <w:rFonts w:ascii="Garamond" w:hAnsi="Garamond"/>
          <w:sz w:val="22"/>
        </w:rPr>
        <w:t xml:space="preserve"> the principle is that all accredited institutions should have a chance to compete for government funding, with the best </w:t>
      </w:r>
      <w:r w:rsidR="00C62BE6" w:rsidRPr="00E37CBF">
        <w:rPr>
          <w:rFonts w:ascii="Garamond" w:hAnsi="Garamond"/>
          <w:sz w:val="22"/>
        </w:rPr>
        <w:t>researchers</w:t>
      </w:r>
      <w:r w:rsidR="00181585" w:rsidRPr="00E37CBF">
        <w:rPr>
          <w:rFonts w:ascii="Garamond" w:hAnsi="Garamond"/>
          <w:sz w:val="22"/>
        </w:rPr>
        <w:t xml:space="preserve"> and projects winning.</w:t>
      </w:r>
      <w:r w:rsidR="00F36982" w:rsidRPr="00E37CBF">
        <w:rPr>
          <w:rFonts w:ascii="Garamond" w:hAnsi="Garamond"/>
          <w:sz w:val="22"/>
        </w:rPr>
        <w:t xml:space="preserve"> </w:t>
      </w:r>
      <w:r w:rsidR="00EA5FCB">
        <w:rPr>
          <w:rFonts w:ascii="Garamond" w:hAnsi="Garamond"/>
          <w:sz w:val="22"/>
        </w:rPr>
        <w:t>The r</w:t>
      </w:r>
      <w:r w:rsidR="007F347E" w:rsidRPr="00E37CBF">
        <w:rPr>
          <w:rFonts w:ascii="Garamond" w:hAnsi="Garamond"/>
          <w:sz w:val="22"/>
        </w:rPr>
        <w:t xml:space="preserve">esearch environment </w:t>
      </w:r>
      <w:r w:rsidR="005D24D3" w:rsidRPr="00E37CBF">
        <w:rPr>
          <w:rFonts w:ascii="Garamond" w:hAnsi="Garamond"/>
          <w:sz w:val="22"/>
        </w:rPr>
        <w:t xml:space="preserve">is </w:t>
      </w:r>
      <w:r w:rsidR="007F347E" w:rsidRPr="00E37CBF">
        <w:rPr>
          <w:rFonts w:ascii="Garamond" w:hAnsi="Garamond"/>
          <w:sz w:val="22"/>
        </w:rPr>
        <w:t>already a large part of ARC assessment processes</w:t>
      </w:r>
      <w:r w:rsidR="00C62BE6" w:rsidRPr="00E37CBF">
        <w:rPr>
          <w:rFonts w:ascii="Garamond" w:hAnsi="Garamond"/>
          <w:sz w:val="22"/>
        </w:rPr>
        <w:t>, so the complaint from incumbent universities that they offer a better environment for projects is already dealt with</w:t>
      </w:r>
      <w:r w:rsidR="007F347E" w:rsidRPr="00E37CBF">
        <w:rPr>
          <w:rFonts w:ascii="Garamond" w:hAnsi="Garamond"/>
          <w:sz w:val="22"/>
        </w:rPr>
        <w:t>.</w:t>
      </w:r>
      <w:r w:rsidR="00F36982" w:rsidRPr="00E37CBF">
        <w:rPr>
          <w:rFonts w:ascii="Garamond" w:hAnsi="Garamond"/>
          <w:sz w:val="22"/>
        </w:rPr>
        <w:t xml:space="preserve"> </w:t>
      </w:r>
      <w:r w:rsidR="00090C3C" w:rsidRPr="00E37CBF">
        <w:rPr>
          <w:rFonts w:ascii="Garamond" w:hAnsi="Garamond"/>
          <w:sz w:val="22"/>
        </w:rPr>
        <w:t xml:space="preserve">Allowing all researchers </w:t>
      </w:r>
      <w:r w:rsidR="00C62BE6" w:rsidRPr="00E37CBF">
        <w:rPr>
          <w:rFonts w:ascii="Garamond" w:hAnsi="Garamond"/>
          <w:sz w:val="22"/>
        </w:rPr>
        <w:t xml:space="preserve">regardless of institution </w:t>
      </w:r>
      <w:r w:rsidR="00090C3C" w:rsidRPr="00E37CBF">
        <w:rPr>
          <w:rFonts w:ascii="Garamond" w:hAnsi="Garamond"/>
          <w:sz w:val="22"/>
        </w:rPr>
        <w:t>to apply would be budget neutral as the available pot of money for which they are competing remains constant.</w:t>
      </w:r>
    </w:p>
    <w:p w14:paraId="1FB53337" w14:textId="77777777" w:rsidR="00562A42" w:rsidRDefault="00562A42" w:rsidP="00624127">
      <w:pPr>
        <w:rPr>
          <w:rFonts w:ascii="Garamond" w:hAnsi="Garamond"/>
          <w:b/>
          <w:sz w:val="22"/>
        </w:rPr>
      </w:pPr>
    </w:p>
    <w:p w14:paraId="38B3784D" w14:textId="1C590F85" w:rsidR="00E4363B" w:rsidRPr="00562A42" w:rsidRDefault="003C58F5" w:rsidP="00624127">
      <w:pPr>
        <w:rPr>
          <w:rFonts w:ascii="Garamond" w:hAnsi="Garamond"/>
          <w:b/>
          <w:sz w:val="28"/>
          <w:szCs w:val="28"/>
        </w:rPr>
      </w:pPr>
      <w:r w:rsidRPr="00562A42">
        <w:rPr>
          <w:rFonts w:ascii="Garamond" w:hAnsi="Garamond"/>
          <w:b/>
          <w:sz w:val="28"/>
          <w:szCs w:val="28"/>
        </w:rPr>
        <w:lastRenderedPageBreak/>
        <w:t>P</w:t>
      </w:r>
      <w:r w:rsidR="00E4015E" w:rsidRPr="00562A42">
        <w:rPr>
          <w:rFonts w:ascii="Garamond" w:hAnsi="Garamond"/>
          <w:b/>
          <w:sz w:val="28"/>
          <w:szCs w:val="28"/>
        </w:rPr>
        <w:t>olitics</w:t>
      </w:r>
    </w:p>
    <w:p w14:paraId="05277681" w14:textId="5CE8B623" w:rsidR="008C4862" w:rsidRDefault="0058288B" w:rsidP="008C4862">
      <w:pPr>
        <w:rPr>
          <w:rFonts w:ascii="Garamond" w:hAnsi="Garamond"/>
          <w:sz w:val="22"/>
        </w:rPr>
      </w:pPr>
      <w:r w:rsidRPr="00624127">
        <w:rPr>
          <w:rFonts w:ascii="Garamond" w:hAnsi="Garamond"/>
          <w:sz w:val="22"/>
        </w:rPr>
        <w:t>There have been several f</w:t>
      </w:r>
      <w:r w:rsidR="00E4363B" w:rsidRPr="00624127">
        <w:rPr>
          <w:rFonts w:ascii="Garamond" w:hAnsi="Garamond"/>
          <w:sz w:val="22"/>
        </w:rPr>
        <w:t>ailed attempts to open</w:t>
      </w:r>
      <w:r w:rsidRPr="00624127">
        <w:rPr>
          <w:rFonts w:ascii="Garamond" w:hAnsi="Garamond"/>
          <w:sz w:val="22"/>
        </w:rPr>
        <w:t xml:space="preserve"> public </w:t>
      </w:r>
      <w:r w:rsidR="00E4363B" w:rsidRPr="00624127">
        <w:rPr>
          <w:rFonts w:ascii="Garamond" w:hAnsi="Garamond"/>
          <w:sz w:val="22"/>
        </w:rPr>
        <w:t>u</w:t>
      </w:r>
      <w:r w:rsidRPr="00624127">
        <w:rPr>
          <w:rFonts w:ascii="Garamond" w:hAnsi="Garamond"/>
          <w:sz w:val="22"/>
        </w:rPr>
        <w:t>niversities to c</w:t>
      </w:r>
      <w:r w:rsidR="00E4363B" w:rsidRPr="00624127">
        <w:rPr>
          <w:rFonts w:ascii="Garamond" w:hAnsi="Garamond"/>
          <w:sz w:val="22"/>
        </w:rPr>
        <w:t>ompetition in the past.</w:t>
      </w:r>
      <w:r w:rsidRPr="00624127">
        <w:rPr>
          <w:rFonts w:ascii="Garamond" w:hAnsi="Garamond"/>
          <w:sz w:val="22"/>
        </w:rPr>
        <w:t xml:space="preserve"> Each </w:t>
      </w:r>
      <w:r w:rsidR="005143E3" w:rsidRPr="00624127">
        <w:rPr>
          <w:rFonts w:ascii="Garamond" w:hAnsi="Garamond"/>
          <w:sz w:val="22"/>
        </w:rPr>
        <w:t xml:space="preserve">has been </w:t>
      </w:r>
      <w:r w:rsidRPr="00624127">
        <w:rPr>
          <w:rFonts w:ascii="Garamond" w:hAnsi="Garamond"/>
          <w:sz w:val="22"/>
        </w:rPr>
        <w:t xml:space="preserve">defeated by a coalition of universities and higher education unions. There has been the $100,000 </w:t>
      </w:r>
      <w:r w:rsidR="00C62BE6" w:rsidRPr="00624127">
        <w:rPr>
          <w:rFonts w:ascii="Garamond" w:hAnsi="Garamond"/>
          <w:sz w:val="22"/>
        </w:rPr>
        <w:t xml:space="preserve">university </w:t>
      </w:r>
      <w:r w:rsidRPr="00624127">
        <w:rPr>
          <w:rFonts w:ascii="Garamond" w:hAnsi="Garamond"/>
          <w:sz w:val="22"/>
        </w:rPr>
        <w:t xml:space="preserve">degree scare </w:t>
      </w:r>
      <w:r w:rsidR="006B09A4" w:rsidRPr="00624127">
        <w:rPr>
          <w:rFonts w:ascii="Garamond" w:hAnsi="Garamond"/>
          <w:sz w:val="22"/>
        </w:rPr>
        <w:t>campaign and</w:t>
      </w:r>
      <w:r w:rsidRPr="00624127">
        <w:rPr>
          <w:rFonts w:ascii="Garamond" w:hAnsi="Garamond"/>
          <w:sz w:val="22"/>
        </w:rPr>
        <w:t xml:space="preserve"> the </w:t>
      </w:r>
      <w:r w:rsidR="005E56D2" w:rsidRPr="00624127">
        <w:rPr>
          <w:rFonts w:ascii="Garamond" w:hAnsi="Garamond"/>
          <w:sz w:val="22"/>
        </w:rPr>
        <w:t>VET FEE-HELP d</w:t>
      </w:r>
      <w:r w:rsidR="00E4363B" w:rsidRPr="00624127">
        <w:rPr>
          <w:rFonts w:ascii="Garamond" w:hAnsi="Garamond"/>
          <w:sz w:val="22"/>
        </w:rPr>
        <w:t>ebacle</w:t>
      </w:r>
      <w:r w:rsidR="008C4862">
        <w:rPr>
          <w:rFonts w:ascii="Garamond" w:hAnsi="Garamond"/>
          <w:sz w:val="22"/>
        </w:rPr>
        <w:t>,</w:t>
      </w:r>
      <w:r w:rsidRPr="00624127">
        <w:rPr>
          <w:rFonts w:ascii="Garamond" w:hAnsi="Garamond"/>
          <w:sz w:val="22"/>
        </w:rPr>
        <w:t xml:space="preserve"> which was </w:t>
      </w:r>
      <w:r w:rsidR="005143E3" w:rsidRPr="00624127">
        <w:rPr>
          <w:rFonts w:ascii="Garamond" w:hAnsi="Garamond"/>
          <w:sz w:val="22"/>
        </w:rPr>
        <w:t xml:space="preserve">a </w:t>
      </w:r>
      <w:r w:rsidRPr="00624127">
        <w:rPr>
          <w:rFonts w:ascii="Garamond" w:hAnsi="Garamond"/>
          <w:sz w:val="22"/>
        </w:rPr>
        <w:t xml:space="preserve">failure of regulation rather than </w:t>
      </w:r>
      <w:r w:rsidR="005143E3" w:rsidRPr="00624127">
        <w:rPr>
          <w:rFonts w:ascii="Garamond" w:hAnsi="Garamond"/>
          <w:sz w:val="22"/>
        </w:rPr>
        <w:t xml:space="preserve">of </w:t>
      </w:r>
      <w:r w:rsidRPr="00624127">
        <w:rPr>
          <w:rFonts w:ascii="Garamond" w:hAnsi="Garamond"/>
          <w:sz w:val="22"/>
        </w:rPr>
        <w:t>competition</w:t>
      </w:r>
      <w:r w:rsidR="008C4862">
        <w:rPr>
          <w:rFonts w:ascii="Garamond" w:hAnsi="Garamond"/>
          <w:sz w:val="22"/>
        </w:rPr>
        <w:t>, and</w:t>
      </w:r>
      <w:r w:rsidRPr="00624127">
        <w:rPr>
          <w:rFonts w:ascii="Garamond" w:hAnsi="Garamond"/>
          <w:sz w:val="22"/>
        </w:rPr>
        <w:t xml:space="preserve"> which university vice- chancellors are quick to invoke when </w:t>
      </w:r>
      <w:r w:rsidR="005143E3" w:rsidRPr="00624127">
        <w:rPr>
          <w:rFonts w:ascii="Garamond" w:hAnsi="Garamond"/>
          <w:sz w:val="22"/>
        </w:rPr>
        <w:t>opening them up to competition is discussed.</w:t>
      </w:r>
      <w:r w:rsidR="00F36982" w:rsidRPr="00624127">
        <w:rPr>
          <w:rFonts w:ascii="Garamond" w:hAnsi="Garamond"/>
          <w:sz w:val="22"/>
        </w:rPr>
        <w:t xml:space="preserve"> </w:t>
      </w:r>
      <w:r w:rsidR="00C62BE6" w:rsidRPr="00624127">
        <w:rPr>
          <w:rFonts w:ascii="Garamond" w:hAnsi="Garamond"/>
          <w:sz w:val="22"/>
        </w:rPr>
        <w:t>Even though they know that VET markets and regulatory arrangements are very different to higher</w:t>
      </w:r>
      <w:r w:rsidR="008C4862">
        <w:rPr>
          <w:rFonts w:ascii="Garamond" w:hAnsi="Garamond"/>
          <w:sz w:val="22"/>
        </w:rPr>
        <w:t xml:space="preserve"> education.</w:t>
      </w:r>
    </w:p>
    <w:p w14:paraId="6EEF853B" w14:textId="2AF7FBA8" w:rsidR="00C62BE6" w:rsidRPr="00624127" w:rsidRDefault="008C4862" w:rsidP="008C4862">
      <w:pPr>
        <w:rPr>
          <w:rFonts w:ascii="Garamond" w:hAnsi="Garamond"/>
          <w:sz w:val="22"/>
        </w:rPr>
      </w:pPr>
      <w:r>
        <w:rPr>
          <w:rFonts w:ascii="Garamond" w:hAnsi="Garamond"/>
          <w:sz w:val="22"/>
        </w:rPr>
        <w:t>Vice c</w:t>
      </w:r>
      <w:r w:rsidR="005143E3" w:rsidRPr="00624127">
        <w:rPr>
          <w:rFonts w:ascii="Garamond" w:hAnsi="Garamond"/>
          <w:sz w:val="22"/>
        </w:rPr>
        <w:t>hancellors and unions are also keen to point out the evils of private ownership. But the distinction between p</w:t>
      </w:r>
      <w:r w:rsidR="003E4364" w:rsidRPr="00624127">
        <w:rPr>
          <w:rFonts w:ascii="Garamond" w:hAnsi="Garamond"/>
          <w:sz w:val="22"/>
        </w:rPr>
        <w:t>ublic</w:t>
      </w:r>
      <w:r w:rsidR="005143E3" w:rsidRPr="00624127">
        <w:rPr>
          <w:rFonts w:ascii="Garamond" w:hAnsi="Garamond"/>
          <w:sz w:val="22"/>
        </w:rPr>
        <w:t xml:space="preserve"> and private</w:t>
      </w:r>
      <w:r w:rsidR="003E4364" w:rsidRPr="00624127">
        <w:rPr>
          <w:rFonts w:ascii="Garamond" w:hAnsi="Garamond"/>
          <w:sz w:val="22"/>
        </w:rPr>
        <w:t xml:space="preserve"> </w:t>
      </w:r>
      <w:r w:rsidR="005143E3" w:rsidRPr="00624127">
        <w:rPr>
          <w:rFonts w:ascii="Garamond" w:hAnsi="Garamond"/>
          <w:sz w:val="22"/>
        </w:rPr>
        <w:t>is increasingly vague</w:t>
      </w:r>
      <w:r w:rsidR="003E4364" w:rsidRPr="00624127">
        <w:rPr>
          <w:rFonts w:ascii="Garamond" w:hAnsi="Garamond"/>
          <w:sz w:val="22"/>
        </w:rPr>
        <w:t>.</w:t>
      </w:r>
      <w:r w:rsidR="00F36982" w:rsidRPr="00624127">
        <w:rPr>
          <w:rFonts w:ascii="Garamond" w:hAnsi="Garamond"/>
          <w:sz w:val="22"/>
        </w:rPr>
        <w:t xml:space="preserve"> </w:t>
      </w:r>
      <w:r w:rsidR="00C62BE6" w:rsidRPr="00624127">
        <w:rPr>
          <w:rFonts w:ascii="Garamond" w:hAnsi="Garamond"/>
          <w:sz w:val="22"/>
        </w:rPr>
        <w:t>For instance</w:t>
      </w:r>
      <w:r w:rsidR="004E1DB5">
        <w:rPr>
          <w:rFonts w:ascii="Garamond" w:hAnsi="Garamond"/>
          <w:sz w:val="22"/>
        </w:rPr>
        <w:t>,</w:t>
      </w:r>
      <w:r w:rsidR="00C62BE6" w:rsidRPr="00624127">
        <w:rPr>
          <w:rFonts w:ascii="Garamond" w:hAnsi="Garamond"/>
          <w:sz w:val="22"/>
        </w:rPr>
        <w:t xml:space="preserve"> t</w:t>
      </w:r>
      <w:r w:rsidR="005143E3" w:rsidRPr="00624127">
        <w:rPr>
          <w:rFonts w:ascii="Garamond" w:hAnsi="Garamond"/>
          <w:sz w:val="22"/>
        </w:rPr>
        <w:t xml:space="preserve">he governance structures of </w:t>
      </w:r>
      <w:r w:rsidR="003E4364" w:rsidRPr="00624127">
        <w:rPr>
          <w:rFonts w:ascii="Garamond" w:hAnsi="Garamond"/>
          <w:sz w:val="22"/>
        </w:rPr>
        <w:t xml:space="preserve">ACU </w:t>
      </w:r>
      <w:r w:rsidR="005143E3" w:rsidRPr="00624127">
        <w:rPr>
          <w:rFonts w:ascii="Garamond" w:hAnsi="Garamond"/>
          <w:sz w:val="22"/>
        </w:rPr>
        <w:t xml:space="preserve">and </w:t>
      </w:r>
      <w:r w:rsidR="003E4364" w:rsidRPr="00624127">
        <w:rPr>
          <w:rFonts w:ascii="Garamond" w:hAnsi="Garamond"/>
          <w:sz w:val="22"/>
        </w:rPr>
        <w:t>Notre Dame</w:t>
      </w:r>
      <w:r w:rsidR="005143E3" w:rsidRPr="00624127">
        <w:rPr>
          <w:rFonts w:ascii="Garamond" w:hAnsi="Garamond"/>
          <w:sz w:val="22"/>
        </w:rPr>
        <w:t xml:space="preserve"> are </w:t>
      </w:r>
      <w:r w:rsidR="009838FC" w:rsidRPr="00624127">
        <w:rPr>
          <w:rFonts w:ascii="Garamond" w:hAnsi="Garamond"/>
          <w:sz w:val="22"/>
        </w:rPr>
        <w:t>indistinguishable</w:t>
      </w:r>
      <w:r>
        <w:rPr>
          <w:rFonts w:ascii="Garamond" w:hAnsi="Garamond"/>
          <w:sz w:val="22"/>
        </w:rPr>
        <w:t>;</w:t>
      </w:r>
      <w:r w:rsidR="005143E3" w:rsidRPr="00624127">
        <w:rPr>
          <w:rFonts w:ascii="Garamond" w:hAnsi="Garamond"/>
          <w:sz w:val="22"/>
        </w:rPr>
        <w:t xml:space="preserve"> yet one is regarded as public and the other private</w:t>
      </w:r>
      <w:r w:rsidR="003E4364" w:rsidRPr="00624127">
        <w:rPr>
          <w:rFonts w:ascii="Garamond" w:hAnsi="Garamond"/>
          <w:sz w:val="22"/>
        </w:rPr>
        <w:t xml:space="preserve">. </w:t>
      </w:r>
      <w:r w:rsidR="005143E3" w:rsidRPr="00624127">
        <w:rPr>
          <w:rFonts w:ascii="Garamond" w:hAnsi="Garamond"/>
          <w:sz w:val="22"/>
        </w:rPr>
        <w:t xml:space="preserve">The </w:t>
      </w:r>
      <w:r w:rsidR="00C62BE6" w:rsidRPr="00624127">
        <w:rPr>
          <w:rFonts w:ascii="Garamond" w:hAnsi="Garamond"/>
          <w:sz w:val="22"/>
        </w:rPr>
        <w:t xml:space="preserve">real </w:t>
      </w:r>
      <w:r w:rsidR="005143E3" w:rsidRPr="00624127">
        <w:rPr>
          <w:rFonts w:ascii="Garamond" w:hAnsi="Garamond"/>
          <w:sz w:val="22"/>
        </w:rPr>
        <w:t>difference is that one began under older regulatory arrangements than the other.</w:t>
      </w:r>
    </w:p>
    <w:p w14:paraId="566D72EE" w14:textId="067E2816" w:rsidR="00E4363B" w:rsidRPr="00624127" w:rsidRDefault="005143E3" w:rsidP="00891385">
      <w:pPr>
        <w:rPr>
          <w:rFonts w:ascii="Garamond" w:hAnsi="Garamond" w:cs="Times New Roman"/>
          <w:color w:val="000000"/>
          <w:sz w:val="22"/>
        </w:rPr>
      </w:pPr>
      <w:r w:rsidRPr="00624127">
        <w:rPr>
          <w:rFonts w:ascii="Garamond" w:hAnsi="Garamond"/>
          <w:sz w:val="22"/>
        </w:rPr>
        <w:t xml:space="preserve">It is not </w:t>
      </w:r>
      <w:r w:rsidR="003E4364" w:rsidRPr="00624127">
        <w:rPr>
          <w:rFonts w:ascii="Garamond" w:hAnsi="Garamond" w:cs="Times New Roman"/>
          <w:color w:val="000000"/>
          <w:sz w:val="22"/>
        </w:rPr>
        <w:t xml:space="preserve">legal ownership but </w:t>
      </w:r>
      <w:r w:rsidRPr="00624127">
        <w:rPr>
          <w:rFonts w:ascii="Garamond" w:hAnsi="Garamond" w:cs="Times New Roman"/>
          <w:color w:val="000000"/>
          <w:sz w:val="22"/>
        </w:rPr>
        <w:t>regulatory arrangements and the social character of the goods that matters (as pointed out by Marginson</w:t>
      </w:r>
      <w:r w:rsidR="00C65CF4" w:rsidRPr="00624127">
        <w:rPr>
          <w:rFonts w:ascii="Garamond" w:hAnsi="Garamond" w:cs="Times New Roman"/>
          <w:color w:val="000000"/>
          <w:sz w:val="22"/>
        </w:rPr>
        <w:t xml:space="preserve"> 2007</w:t>
      </w:r>
      <w:r w:rsidRPr="00624127">
        <w:rPr>
          <w:rFonts w:ascii="Garamond" w:hAnsi="Garamond" w:cs="Times New Roman"/>
          <w:color w:val="000000"/>
          <w:sz w:val="22"/>
        </w:rPr>
        <w:t>).</w:t>
      </w:r>
      <w:r w:rsidR="00F36982" w:rsidRPr="00624127">
        <w:rPr>
          <w:rFonts w:ascii="Garamond" w:hAnsi="Garamond" w:cs="Times New Roman"/>
          <w:color w:val="000000"/>
          <w:sz w:val="22"/>
        </w:rPr>
        <w:t xml:space="preserve"> </w:t>
      </w:r>
      <w:r w:rsidRPr="00624127">
        <w:rPr>
          <w:rFonts w:ascii="Garamond" w:hAnsi="Garamond" w:cs="Times New Roman"/>
          <w:color w:val="000000"/>
          <w:sz w:val="22"/>
        </w:rPr>
        <w:t>Even the distinction between not-for profit and for-profit i</w:t>
      </w:r>
      <w:r w:rsidR="00C62BE6" w:rsidRPr="00624127">
        <w:rPr>
          <w:rFonts w:ascii="Garamond" w:hAnsi="Garamond" w:cs="Times New Roman"/>
          <w:color w:val="000000"/>
          <w:sz w:val="22"/>
        </w:rPr>
        <w:t xml:space="preserve">s </w:t>
      </w:r>
      <w:proofErr w:type="gramStart"/>
      <w:r w:rsidR="00C62BE6" w:rsidRPr="00624127">
        <w:rPr>
          <w:rFonts w:ascii="Garamond" w:hAnsi="Garamond" w:cs="Times New Roman"/>
          <w:color w:val="000000"/>
          <w:sz w:val="22"/>
        </w:rPr>
        <w:t>shady</w:t>
      </w:r>
      <w:r w:rsidR="004E1DB5">
        <w:rPr>
          <w:rFonts w:ascii="Garamond" w:hAnsi="Garamond" w:cs="Times New Roman"/>
          <w:color w:val="000000"/>
          <w:sz w:val="22"/>
        </w:rPr>
        <w:t>, and</w:t>
      </w:r>
      <w:proofErr w:type="gramEnd"/>
      <w:r w:rsidR="00C62BE6" w:rsidRPr="00624127">
        <w:rPr>
          <w:rFonts w:ascii="Garamond" w:hAnsi="Garamond" w:cs="Times New Roman"/>
          <w:color w:val="000000"/>
          <w:sz w:val="22"/>
        </w:rPr>
        <w:t xml:space="preserve"> </w:t>
      </w:r>
      <w:r w:rsidR="004E1DB5">
        <w:rPr>
          <w:rFonts w:ascii="Garamond" w:hAnsi="Garamond" w:cs="Times New Roman"/>
          <w:color w:val="000000"/>
          <w:sz w:val="22"/>
        </w:rPr>
        <w:t xml:space="preserve">is </w:t>
      </w:r>
      <w:r w:rsidR="00C62BE6" w:rsidRPr="00624127">
        <w:rPr>
          <w:rFonts w:ascii="Garamond" w:hAnsi="Garamond" w:cs="Times New Roman"/>
          <w:color w:val="000000"/>
          <w:sz w:val="22"/>
        </w:rPr>
        <w:t>perhaps just a matter</w:t>
      </w:r>
      <w:r w:rsidRPr="00624127">
        <w:rPr>
          <w:rFonts w:ascii="Garamond" w:hAnsi="Garamond" w:cs="Times New Roman"/>
          <w:color w:val="000000"/>
          <w:sz w:val="22"/>
        </w:rPr>
        <w:t xml:space="preserve"> of whether rents are cas</w:t>
      </w:r>
      <w:r w:rsidR="00C62BE6" w:rsidRPr="00624127">
        <w:rPr>
          <w:rFonts w:ascii="Garamond" w:hAnsi="Garamond" w:cs="Times New Roman"/>
          <w:color w:val="000000"/>
          <w:sz w:val="22"/>
        </w:rPr>
        <w:t>h</w:t>
      </w:r>
      <w:r w:rsidRPr="00624127">
        <w:rPr>
          <w:rFonts w:ascii="Garamond" w:hAnsi="Garamond" w:cs="Times New Roman"/>
          <w:color w:val="000000"/>
          <w:sz w:val="22"/>
        </w:rPr>
        <w:t xml:space="preserve">ed out </w:t>
      </w:r>
      <w:r w:rsidR="00C62BE6" w:rsidRPr="00624127">
        <w:rPr>
          <w:rFonts w:ascii="Garamond" w:hAnsi="Garamond" w:cs="Times New Roman"/>
          <w:color w:val="000000"/>
          <w:sz w:val="22"/>
        </w:rPr>
        <w:t xml:space="preserve">by management </w:t>
      </w:r>
      <w:r w:rsidRPr="00624127">
        <w:rPr>
          <w:rFonts w:ascii="Garamond" w:hAnsi="Garamond" w:cs="Times New Roman"/>
          <w:color w:val="000000"/>
          <w:sz w:val="22"/>
        </w:rPr>
        <w:t xml:space="preserve">above the </w:t>
      </w:r>
      <w:r w:rsidR="00C62BE6" w:rsidRPr="00624127">
        <w:rPr>
          <w:rFonts w:ascii="Garamond" w:hAnsi="Garamond" w:cs="Times New Roman"/>
          <w:color w:val="000000"/>
          <w:sz w:val="22"/>
        </w:rPr>
        <w:t xml:space="preserve">bottom </w:t>
      </w:r>
      <w:r w:rsidRPr="00624127">
        <w:rPr>
          <w:rFonts w:ascii="Garamond" w:hAnsi="Garamond" w:cs="Times New Roman"/>
          <w:color w:val="000000"/>
          <w:sz w:val="22"/>
        </w:rPr>
        <w:t xml:space="preserve">line as salaries and perks, or more transparently </w:t>
      </w:r>
      <w:r w:rsidR="00C62BE6" w:rsidRPr="00624127">
        <w:rPr>
          <w:rFonts w:ascii="Garamond" w:hAnsi="Garamond" w:cs="Times New Roman"/>
          <w:color w:val="000000"/>
          <w:sz w:val="22"/>
        </w:rPr>
        <w:t xml:space="preserve">taken below the line </w:t>
      </w:r>
      <w:r w:rsidRPr="00624127">
        <w:rPr>
          <w:rFonts w:ascii="Garamond" w:hAnsi="Garamond" w:cs="Times New Roman"/>
          <w:color w:val="000000"/>
          <w:sz w:val="22"/>
        </w:rPr>
        <w:t>as profits.</w:t>
      </w:r>
    </w:p>
    <w:p w14:paraId="497CAEDF" w14:textId="77777777" w:rsidR="00562A42" w:rsidRDefault="00562A42" w:rsidP="00624127">
      <w:pPr>
        <w:spacing w:after="160" w:line="259" w:lineRule="auto"/>
        <w:rPr>
          <w:rFonts w:ascii="Garamond" w:hAnsi="Garamond"/>
          <w:b/>
          <w:sz w:val="22"/>
        </w:rPr>
      </w:pPr>
    </w:p>
    <w:p w14:paraId="6A68239A" w14:textId="057A8CEA" w:rsidR="00A06FCF" w:rsidRPr="00562A42" w:rsidRDefault="005D24D3" w:rsidP="00624127">
      <w:pPr>
        <w:spacing w:after="160" w:line="259" w:lineRule="auto"/>
        <w:rPr>
          <w:rFonts w:ascii="Garamond" w:hAnsi="Garamond"/>
          <w:b/>
          <w:sz w:val="28"/>
          <w:szCs w:val="28"/>
        </w:rPr>
      </w:pPr>
      <w:r w:rsidRPr="00562A42">
        <w:rPr>
          <w:rFonts w:ascii="Garamond" w:hAnsi="Garamond"/>
          <w:b/>
          <w:sz w:val="28"/>
          <w:szCs w:val="28"/>
        </w:rPr>
        <w:t>C</w:t>
      </w:r>
      <w:r w:rsidR="00E4015E" w:rsidRPr="00562A42">
        <w:rPr>
          <w:rFonts w:ascii="Garamond" w:hAnsi="Garamond"/>
          <w:b/>
          <w:sz w:val="28"/>
          <w:szCs w:val="28"/>
        </w:rPr>
        <w:t>onclusion</w:t>
      </w:r>
    </w:p>
    <w:p w14:paraId="5B4A934A" w14:textId="0CADDBA6" w:rsidR="00C62BE6" w:rsidRPr="00624127" w:rsidRDefault="00C62BE6" w:rsidP="00C62BE6">
      <w:pPr>
        <w:rPr>
          <w:rFonts w:ascii="Garamond" w:hAnsi="Garamond"/>
          <w:sz w:val="22"/>
        </w:rPr>
      </w:pPr>
      <w:r w:rsidRPr="00624127">
        <w:rPr>
          <w:rFonts w:ascii="Garamond" w:hAnsi="Garamond"/>
          <w:sz w:val="22"/>
        </w:rPr>
        <w:t>The potential gains from completi</w:t>
      </w:r>
      <w:r w:rsidR="004E1DB5">
        <w:rPr>
          <w:rFonts w:ascii="Garamond" w:hAnsi="Garamond"/>
          <w:sz w:val="22"/>
        </w:rPr>
        <w:t>ng</w:t>
      </w:r>
      <w:r w:rsidRPr="00624127">
        <w:rPr>
          <w:rFonts w:ascii="Garamond" w:hAnsi="Garamond"/>
          <w:sz w:val="22"/>
        </w:rPr>
        <w:t xml:space="preserve"> reforms like those discussed above are huge.</w:t>
      </w:r>
      <w:r w:rsidR="00F36982" w:rsidRPr="00624127">
        <w:rPr>
          <w:rFonts w:ascii="Garamond" w:hAnsi="Garamond"/>
          <w:sz w:val="22"/>
        </w:rPr>
        <w:t xml:space="preserve"> </w:t>
      </w:r>
      <w:r w:rsidRPr="00624127">
        <w:rPr>
          <w:rFonts w:ascii="Garamond" w:hAnsi="Garamond"/>
          <w:sz w:val="22"/>
        </w:rPr>
        <w:t>Competition alters the cost and quality benchmark for public universities even if private providers remain small.</w:t>
      </w:r>
      <w:r w:rsidR="009034D0">
        <w:rPr>
          <w:rFonts w:ascii="Garamond" w:hAnsi="Garamond"/>
          <w:sz w:val="22"/>
        </w:rPr>
        <w:t xml:space="preserve"> </w:t>
      </w:r>
      <w:r w:rsidRPr="00624127">
        <w:rPr>
          <w:rFonts w:ascii="Garamond" w:hAnsi="Garamond"/>
          <w:sz w:val="22"/>
        </w:rPr>
        <w:t xml:space="preserve">Altering the cost and quality benchmark for universities means budget savings for government, savings and quality gains for </w:t>
      </w:r>
      <w:proofErr w:type="spellStart"/>
      <w:proofErr w:type="gramStart"/>
      <w:r w:rsidRPr="00624127">
        <w:rPr>
          <w:rFonts w:ascii="Garamond" w:hAnsi="Garamond"/>
          <w:sz w:val="22"/>
        </w:rPr>
        <w:t>students</w:t>
      </w:r>
      <w:r w:rsidR="004E1DB5">
        <w:rPr>
          <w:rFonts w:ascii="Garamond" w:hAnsi="Garamond"/>
          <w:sz w:val="22"/>
        </w:rPr>
        <w:t>,a</w:t>
      </w:r>
      <w:r w:rsidRPr="00624127">
        <w:rPr>
          <w:rFonts w:ascii="Garamond" w:hAnsi="Garamond"/>
          <w:sz w:val="22"/>
        </w:rPr>
        <w:t>nd</w:t>
      </w:r>
      <w:proofErr w:type="spellEnd"/>
      <w:proofErr w:type="gramEnd"/>
      <w:r w:rsidRPr="00624127">
        <w:rPr>
          <w:rFonts w:ascii="Garamond" w:hAnsi="Garamond"/>
          <w:sz w:val="22"/>
        </w:rPr>
        <w:t xml:space="preserve"> </w:t>
      </w:r>
      <w:r w:rsidR="00E37CBF">
        <w:rPr>
          <w:rFonts w:ascii="Garamond" w:hAnsi="Garamond"/>
          <w:sz w:val="22"/>
        </w:rPr>
        <w:t xml:space="preserve">the </w:t>
      </w:r>
      <w:r w:rsidRPr="00624127">
        <w:rPr>
          <w:rFonts w:ascii="Garamond" w:hAnsi="Garamond"/>
          <w:sz w:val="22"/>
        </w:rPr>
        <w:t>potentially large export earnings generated by new private universities.</w:t>
      </w:r>
    </w:p>
    <w:p w14:paraId="694A28FB" w14:textId="512980BF" w:rsidR="00C62BE6" w:rsidRDefault="00C62BE6" w:rsidP="00C62BE6">
      <w:pPr>
        <w:rPr>
          <w:rFonts w:ascii="Garamond" w:hAnsi="Garamond"/>
          <w:sz w:val="22"/>
        </w:rPr>
      </w:pPr>
      <w:r w:rsidRPr="00624127">
        <w:rPr>
          <w:rFonts w:ascii="Garamond" w:hAnsi="Garamond"/>
          <w:sz w:val="22"/>
        </w:rPr>
        <w:t xml:space="preserve">The vice-chancellors squealing loudest about the threat of competition from private providers are identifying their institutions as </w:t>
      </w:r>
      <w:r w:rsidR="004E1DB5">
        <w:rPr>
          <w:rFonts w:ascii="Garamond" w:hAnsi="Garamond"/>
          <w:sz w:val="22"/>
        </w:rPr>
        <w:t xml:space="preserve">the </w:t>
      </w:r>
      <w:r w:rsidRPr="00624127">
        <w:rPr>
          <w:rFonts w:ascii="Garamond" w:hAnsi="Garamond"/>
          <w:sz w:val="22"/>
        </w:rPr>
        <w:t xml:space="preserve">most vulnerable to competition from private providers on anything like a level playing field. The louder they squeal the clearer is the need for </w:t>
      </w:r>
      <w:r w:rsidR="004E1DB5">
        <w:rPr>
          <w:rFonts w:ascii="Garamond" w:hAnsi="Garamond"/>
          <w:sz w:val="22"/>
        </w:rPr>
        <w:t xml:space="preserve">a </w:t>
      </w:r>
      <w:r w:rsidRPr="00624127">
        <w:rPr>
          <w:rFonts w:ascii="Garamond" w:hAnsi="Garamond"/>
          <w:sz w:val="22"/>
        </w:rPr>
        <w:t xml:space="preserve">good dose of competition in teaching and </w:t>
      </w:r>
      <w:r w:rsidR="00B21428" w:rsidRPr="00624127">
        <w:rPr>
          <w:rFonts w:ascii="Garamond" w:hAnsi="Garamond"/>
          <w:sz w:val="22"/>
        </w:rPr>
        <w:t>research in Australian higher education.</w:t>
      </w:r>
    </w:p>
    <w:p w14:paraId="403D025E" w14:textId="77777777" w:rsidR="00562A42" w:rsidRPr="00624127" w:rsidRDefault="00562A42" w:rsidP="00C62BE6">
      <w:pPr>
        <w:rPr>
          <w:rFonts w:ascii="Garamond" w:hAnsi="Garamond"/>
          <w:sz w:val="22"/>
        </w:rPr>
      </w:pPr>
    </w:p>
    <w:p w14:paraId="3F442AE1" w14:textId="77777777" w:rsidR="0072109C" w:rsidRPr="00562A42" w:rsidRDefault="00181006" w:rsidP="0072109C">
      <w:pPr>
        <w:rPr>
          <w:rFonts w:ascii="Garamond" w:hAnsi="Garamond"/>
          <w:b/>
          <w:sz w:val="28"/>
          <w:szCs w:val="28"/>
        </w:rPr>
      </w:pPr>
      <w:r w:rsidRPr="00562A42">
        <w:rPr>
          <w:rFonts w:ascii="Garamond" w:hAnsi="Garamond"/>
          <w:b/>
          <w:sz w:val="28"/>
          <w:szCs w:val="28"/>
        </w:rPr>
        <w:t>References</w:t>
      </w:r>
    </w:p>
    <w:p w14:paraId="352DC185" w14:textId="4A532D7F" w:rsidR="008800AB" w:rsidRPr="00624127" w:rsidRDefault="008800AB" w:rsidP="00A068BE">
      <w:pPr>
        <w:spacing w:line="240" w:lineRule="auto"/>
        <w:ind w:left="720" w:hanging="720"/>
        <w:rPr>
          <w:rFonts w:ascii="Garamond" w:hAnsi="Garamond" w:cs="Times New Roman"/>
          <w:sz w:val="22"/>
        </w:rPr>
      </w:pPr>
      <w:r w:rsidRPr="00624127">
        <w:rPr>
          <w:rFonts w:ascii="Garamond" w:hAnsi="Garamond" w:cs="Times New Roman"/>
          <w:sz w:val="22"/>
        </w:rPr>
        <w:t>Bradley</w:t>
      </w:r>
      <w:r w:rsidR="00C72E7D" w:rsidRPr="00624127">
        <w:rPr>
          <w:rFonts w:ascii="Garamond" w:hAnsi="Garamond" w:cs="Times New Roman"/>
          <w:sz w:val="22"/>
        </w:rPr>
        <w:t xml:space="preserve">, Denise et </w:t>
      </w:r>
      <w:proofErr w:type="spellStart"/>
      <w:r w:rsidR="00C72E7D" w:rsidRPr="00624127">
        <w:rPr>
          <w:rFonts w:ascii="Garamond" w:hAnsi="Garamond" w:cs="Times New Roman"/>
          <w:sz w:val="22"/>
        </w:rPr>
        <w:t>als</w:t>
      </w:r>
      <w:proofErr w:type="spellEnd"/>
      <w:r w:rsidR="00F36982" w:rsidRPr="00624127">
        <w:rPr>
          <w:rFonts w:ascii="Garamond" w:hAnsi="Garamond" w:cs="Times New Roman"/>
          <w:sz w:val="22"/>
        </w:rPr>
        <w:t xml:space="preserve"> </w:t>
      </w:r>
      <w:r w:rsidR="00C72E7D" w:rsidRPr="00624127">
        <w:rPr>
          <w:rFonts w:ascii="Garamond" w:hAnsi="Garamond" w:cs="Times New Roman"/>
          <w:sz w:val="22"/>
        </w:rPr>
        <w:t xml:space="preserve">(2008) </w:t>
      </w:r>
      <w:r w:rsidRPr="00624127">
        <w:rPr>
          <w:rFonts w:ascii="Garamond" w:hAnsi="Garamond" w:cs="Times New Roman"/>
          <w:i/>
          <w:sz w:val="22"/>
        </w:rPr>
        <w:t>Review</w:t>
      </w:r>
      <w:r w:rsidR="00B3406E" w:rsidRPr="00624127">
        <w:rPr>
          <w:rFonts w:ascii="Garamond" w:hAnsi="Garamond" w:cs="Times New Roman"/>
          <w:i/>
          <w:sz w:val="22"/>
        </w:rPr>
        <w:t xml:space="preserve"> of Australian Higher Education</w:t>
      </w:r>
      <w:r w:rsidR="00B3406E" w:rsidRPr="00624127">
        <w:rPr>
          <w:rFonts w:ascii="Garamond" w:hAnsi="Garamond" w:cs="Times New Roman"/>
          <w:sz w:val="22"/>
        </w:rPr>
        <w:t> </w:t>
      </w:r>
    </w:p>
    <w:p w14:paraId="3765E59B" w14:textId="77777777" w:rsidR="00FD1035" w:rsidRPr="00624127" w:rsidRDefault="00FD1035" w:rsidP="00A068BE">
      <w:pPr>
        <w:spacing w:line="240" w:lineRule="auto"/>
        <w:ind w:left="720" w:hanging="720"/>
        <w:rPr>
          <w:rFonts w:ascii="Garamond" w:hAnsi="Garamond" w:cs="Times New Roman"/>
          <w:sz w:val="22"/>
        </w:rPr>
      </w:pPr>
      <w:r w:rsidRPr="00624127">
        <w:rPr>
          <w:rFonts w:ascii="Garamond" w:hAnsi="Garamond" w:cs="Times New Roman"/>
          <w:sz w:val="22"/>
        </w:rPr>
        <w:t xml:space="preserve">Buckingham, Jennifer (2009). </w:t>
      </w:r>
      <w:r w:rsidRPr="00624127">
        <w:rPr>
          <w:rFonts w:ascii="Garamond" w:hAnsi="Garamond" w:cs="Times New Roman"/>
          <w:i/>
          <w:iCs/>
          <w:sz w:val="22"/>
        </w:rPr>
        <w:t xml:space="preserve">Schools of Thought: A Collection of Articles on Education </w:t>
      </w:r>
      <w:r w:rsidRPr="00624127">
        <w:rPr>
          <w:rFonts w:ascii="Garamond" w:hAnsi="Garamond" w:cs="Times New Roman"/>
          <w:sz w:val="22"/>
        </w:rPr>
        <w:t>Sydney, Centre for Independent Studies.</w:t>
      </w:r>
    </w:p>
    <w:p w14:paraId="5B26406D" w14:textId="77777777" w:rsidR="00A068BE" w:rsidRPr="00624127" w:rsidRDefault="00A068BE" w:rsidP="00A068BE">
      <w:pPr>
        <w:spacing w:line="240" w:lineRule="auto"/>
        <w:ind w:left="720" w:hanging="720"/>
        <w:rPr>
          <w:rFonts w:ascii="Garamond" w:hAnsi="Garamond" w:cs="Times New Roman"/>
          <w:sz w:val="22"/>
        </w:rPr>
      </w:pPr>
      <w:r w:rsidRPr="00624127">
        <w:rPr>
          <w:rFonts w:ascii="Garamond" w:hAnsi="Garamond" w:cs="Times New Roman"/>
          <w:sz w:val="22"/>
        </w:rPr>
        <w:t xml:space="preserve">Chapman, Bruce (2006). </w:t>
      </w:r>
      <w:r w:rsidRPr="00624127">
        <w:rPr>
          <w:rFonts w:ascii="Garamond" w:hAnsi="Garamond" w:cs="Times New Roman"/>
          <w:i/>
          <w:iCs/>
          <w:sz w:val="22"/>
        </w:rPr>
        <w:t xml:space="preserve">Government Managing Risk: Income Contingent Loans for Social and Economic Progress </w:t>
      </w:r>
      <w:r w:rsidRPr="00624127">
        <w:rPr>
          <w:rFonts w:ascii="Garamond" w:hAnsi="Garamond" w:cs="Times New Roman"/>
          <w:sz w:val="22"/>
        </w:rPr>
        <w:t>London, Routledge.</w:t>
      </w:r>
    </w:p>
    <w:p w14:paraId="65827C9F" w14:textId="5E4FA2B0" w:rsidR="0065689A" w:rsidRPr="00624127" w:rsidRDefault="0065689A" w:rsidP="00A068BE">
      <w:pPr>
        <w:spacing w:line="240" w:lineRule="auto"/>
        <w:ind w:left="720" w:hanging="720"/>
        <w:rPr>
          <w:rFonts w:ascii="Garamond" w:hAnsi="Garamond" w:cs="Times New Roman"/>
          <w:sz w:val="22"/>
        </w:rPr>
      </w:pPr>
      <w:r w:rsidRPr="00624127">
        <w:rPr>
          <w:rFonts w:ascii="Garamond" w:hAnsi="Garamond" w:cs="Times New Roman"/>
          <w:sz w:val="22"/>
        </w:rPr>
        <w:t>Coleman, W. O., Ed. (2016).</w:t>
      </w:r>
      <w:r w:rsidR="00F36982" w:rsidRPr="00624127">
        <w:rPr>
          <w:rFonts w:ascii="Garamond" w:hAnsi="Garamond" w:cs="Times New Roman"/>
          <w:sz w:val="22"/>
        </w:rPr>
        <w:t xml:space="preserve"> </w:t>
      </w:r>
      <w:r w:rsidRPr="00624127">
        <w:rPr>
          <w:rFonts w:ascii="Garamond" w:hAnsi="Garamond" w:cs="Times New Roman"/>
          <w:i/>
          <w:iCs/>
          <w:sz w:val="22"/>
        </w:rPr>
        <w:t>Only in Australia. The History, Politics and Economics of Australian Exceptionalism.</w:t>
      </w:r>
      <w:r w:rsidRPr="00624127">
        <w:rPr>
          <w:rFonts w:ascii="Garamond" w:hAnsi="Garamond" w:cs="Times New Roman"/>
          <w:sz w:val="22"/>
        </w:rPr>
        <w:t xml:space="preserve"> Oxford, OUP.</w:t>
      </w:r>
    </w:p>
    <w:p w14:paraId="59F3D699" w14:textId="77777777" w:rsidR="00181006" w:rsidRPr="00624127" w:rsidRDefault="00181006" w:rsidP="00A068BE">
      <w:pPr>
        <w:spacing w:line="240" w:lineRule="auto"/>
        <w:ind w:left="720" w:hanging="720"/>
        <w:rPr>
          <w:rFonts w:ascii="Garamond" w:hAnsi="Garamond" w:cs="Times New Roman"/>
          <w:sz w:val="22"/>
        </w:rPr>
      </w:pPr>
      <w:r w:rsidRPr="00624127">
        <w:rPr>
          <w:rFonts w:ascii="Garamond" w:hAnsi="Garamond" w:cs="Times New Roman"/>
          <w:sz w:val="22"/>
        </w:rPr>
        <w:t xml:space="preserve">Corden, W. M. (2005). “Australian Universities: Moscow on the Molonglo” </w:t>
      </w:r>
      <w:r w:rsidRPr="00624127">
        <w:rPr>
          <w:rFonts w:ascii="Garamond" w:hAnsi="Garamond" w:cs="Times New Roman"/>
          <w:i/>
          <w:iCs/>
          <w:sz w:val="22"/>
        </w:rPr>
        <w:t xml:space="preserve">Quadrant </w:t>
      </w:r>
      <w:r w:rsidRPr="00624127">
        <w:rPr>
          <w:rFonts w:ascii="Garamond" w:hAnsi="Garamond" w:cs="Times New Roman"/>
          <w:sz w:val="22"/>
        </w:rPr>
        <w:t>44(11): 7-20.</w:t>
      </w:r>
    </w:p>
    <w:p w14:paraId="7A7C8891" w14:textId="77777777" w:rsidR="00181006" w:rsidRPr="00624127" w:rsidRDefault="00181006" w:rsidP="00A068BE">
      <w:pPr>
        <w:spacing w:line="240" w:lineRule="auto"/>
        <w:ind w:left="720" w:hanging="720"/>
        <w:rPr>
          <w:rFonts w:ascii="Garamond" w:hAnsi="Garamond" w:cs="Times New Roman"/>
          <w:sz w:val="22"/>
        </w:rPr>
      </w:pPr>
      <w:r w:rsidRPr="00624127">
        <w:rPr>
          <w:rFonts w:ascii="Garamond" w:hAnsi="Garamond" w:cs="Times New Roman"/>
          <w:sz w:val="22"/>
        </w:rPr>
        <w:t xml:space="preserve">Davis, Glyn (2017). </w:t>
      </w:r>
      <w:r w:rsidRPr="00624127">
        <w:rPr>
          <w:rFonts w:ascii="Garamond" w:hAnsi="Garamond" w:cs="Times New Roman"/>
          <w:i/>
          <w:iCs/>
          <w:sz w:val="22"/>
        </w:rPr>
        <w:t xml:space="preserve">The Australian Idea of a University </w:t>
      </w:r>
      <w:r w:rsidRPr="00624127">
        <w:rPr>
          <w:rFonts w:ascii="Garamond" w:hAnsi="Garamond" w:cs="Times New Roman"/>
          <w:sz w:val="22"/>
        </w:rPr>
        <w:t>Melbourne, MUP.</w:t>
      </w:r>
    </w:p>
    <w:p w14:paraId="16900C7A" w14:textId="77777777" w:rsidR="003D5F12" w:rsidRPr="00624127" w:rsidRDefault="003D5F12" w:rsidP="00A068BE">
      <w:pPr>
        <w:spacing w:line="240" w:lineRule="auto"/>
        <w:ind w:left="720" w:hanging="720"/>
        <w:rPr>
          <w:rFonts w:ascii="Garamond" w:hAnsi="Garamond" w:cs="Times New Roman"/>
          <w:sz w:val="22"/>
        </w:rPr>
      </w:pPr>
      <w:proofErr w:type="spellStart"/>
      <w:r w:rsidRPr="00624127">
        <w:rPr>
          <w:rFonts w:ascii="Garamond" w:hAnsi="Garamond" w:cs="Times New Roman"/>
          <w:sz w:val="22"/>
        </w:rPr>
        <w:t>Frijters</w:t>
      </w:r>
      <w:proofErr w:type="spellEnd"/>
      <w:r w:rsidRPr="00624127">
        <w:rPr>
          <w:rFonts w:ascii="Garamond" w:hAnsi="Garamond" w:cs="Times New Roman"/>
          <w:sz w:val="22"/>
        </w:rPr>
        <w:t xml:space="preserve">, Paul and Cameron Murray (2016). </w:t>
      </w:r>
      <w:r w:rsidRPr="00624127">
        <w:rPr>
          <w:rFonts w:ascii="Garamond" w:hAnsi="Garamond" w:cs="Times New Roman"/>
          <w:i/>
          <w:iCs/>
          <w:sz w:val="22"/>
        </w:rPr>
        <w:t xml:space="preserve">Game of Mates </w:t>
      </w:r>
      <w:r w:rsidRPr="00624127">
        <w:rPr>
          <w:rFonts w:ascii="Garamond" w:hAnsi="Garamond" w:cs="Times New Roman"/>
          <w:sz w:val="22"/>
        </w:rPr>
        <w:t>USA, Publicious.</w:t>
      </w:r>
    </w:p>
    <w:p w14:paraId="2F3B6A14" w14:textId="536BF032" w:rsidR="000305B5" w:rsidRPr="00624127" w:rsidRDefault="000305B5" w:rsidP="00A068BE">
      <w:pPr>
        <w:spacing w:line="240" w:lineRule="auto"/>
        <w:ind w:left="720" w:hanging="720"/>
        <w:rPr>
          <w:rFonts w:ascii="Garamond" w:hAnsi="Garamond" w:cs="Times New Roman"/>
          <w:sz w:val="22"/>
        </w:rPr>
      </w:pPr>
      <w:r w:rsidRPr="00624127">
        <w:rPr>
          <w:rFonts w:ascii="Garamond" w:hAnsi="Garamond" w:cs="Times New Roman"/>
          <w:sz w:val="22"/>
        </w:rPr>
        <w:lastRenderedPageBreak/>
        <w:t>Harper</w:t>
      </w:r>
      <w:r w:rsidR="00C72E7D" w:rsidRPr="00624127">
        <w:rPr>
          <w:rFonts w:ascii="Garamond" w:hAnsi="Garamond" w:cs="Times New Roman"/>
          <w:sz w:val="22"/>
        </w:rPr>
        <w:t xml:space="preserve">, Ian et </w:t>
      </w:r>
      <w:proofErr w:type="spellStart"/>
      <w:r w:rsidR="00C72E7D" w:rsidRPr="00624127">
        <w:rPr>
          <w:rFonts w:ascii="Garamond" w:hAnsi="Garamond" w:cs="Times New Roman"/>
          <w:sz w:val="22"/>
        </w:rPr>
        <w:t>als</w:t>
      </w:r>
      <w:proofErr w:type="spellEnd"/>
      <w:r w:rsidR="00F36982" w:rsidRPr="00624127">
        <w:rPr>
          <w:rFonts w:ascii="Garamond" w:hAnsi="Garamond" w:cs="Times New Roman"/>
          <w:sz w:val="22"/>
        </w:rPr>
        <w:t xml:space="preserve"> </w:t>
      </w:r>
      <w:r w:rsidR="00C72E7D" w:rsidRPr="00624127">
        <w:rPr>
          <w:rFonts w:ascii="Garamond" w:hAnsi="Garamond" w:cs="Times New Roman"/>
          <w:sz w:val="22"/>
        </w:rPr>
        <w:t xml:space="preserve">(2014) </w:t>
      </w:r>
      <w:r w:rsidRPr="00624127">
        <w:rPr>
          <w:rFonts w:ascii="Garamond" w:hAnsi="Garamond" w:cs="Times New Roman"/>
          <w:i/>
          <w:sz w:val="22"/>
        </w:rPr>
        <w:t xml:space="preserve">Review </w:t>
      </w:r>
      <w:r w:rsidR="00B3406E" w:rsidRPr="00624127">
        <w:rPr>
          <w:rFonts w:ascii="Garamond" w:hAnsi="Garamond" w:cs="Times New Roman"/>
          <w:i/>
          <w:sz w:val="22"/>
        </w:rPr>
        <w:t>of National Competition Policy</w:t>
      </w:r>
      <w:r w:rsidR="00B3406E" w:rsidRPr="00624127">
        <w:rPr>
          <w:rFonts w:ascii="Garamond" w:hAnsi="Garamond" w:cs="Times New Roman"/>
          <w:sz w:val="22"/>
        </w:rPr>
        <w:t xml:space="preserve"> </w:t>
      </w:r>
    </w:p>
    <w:p w14:paraId="15615F3B" w14:textId="56269E1F" w:rsidR="00181006" w:rsidRPr="00624127" w:rsidRDefault="00181006" w:rsidP="00A068BE">
      <w:pPr>
        <w:spacing w:line="240" w:lineRule="auto"/>
        <w:ind w:left="720" w:hanging="720"/>
        <w:rPr>
          <w:rFonts w:ascii="Garamond" w:hAnsi="Garamond" w:cs="Times New Roman"/>
          <w:sz w:val="22"/>
        </w:rPr>
      </w:pPr>
      <w:proofErr w:type="spellStart"/>
      <w:r w:rsidRPr="00624127">
        <w:rPr>
          <w:rFonts w:ascii="Garamond" w:hAnsi="Garamond" w:cs="Times New Roman"/>
          <w:sz w:val="22"/>
        </w:rPr>
        <w:t>Hilmer</w:t>
      </w:r>
      <w:proofErr w:type="spellEnd"/>
      <w:r w:rsidRPr="00624127">
        <w:rPr>
          <w:rFonts w:ascii="Garamond" w:hAnsi="Garamond" w:cs="Times New Roman"/>
          <w:sz w:val="22"/>
        </w:rPr>
        <w:t xml:space="preserve">, Fred and Independent Committee of Inquiry into Competition Policy in Australia (1993). </w:t>
      </w:r>
      <w:r w:rsidRPr="00624127">
        <w:rPr>
          <w:rFonts w:ascii="Garamond" w:hAnsi="Garamond" w:cs="Times New Roman"/>
          <w:i/>
          <w:iCs/>
          <w:sz w:val="22"/>
        </w:rPr>
        <w:t xml:space="preserve">National Competition Policy </w:t>
      </w:r>
      <w:r w:rsidRPr="00624127">
        <w:rPr>
          <w:rFonts w:ascii="Garamond" w:hAnsi="Garamond" w:cs="Times New Roman"/>
          <w:sz w:val="22"/>
        </w:rPr>
        <w:t>Canberra, Australian Government.</w:t>
      </w:r>
      <w:r w:rsidR="00F36982" w:rsidRPr="00624127">
        <w:rPr>
          <w:rFonts w:ascii="Garamond" w:hAnsi="Garamond" w:cs="Times New Roman"/>
          <w:sz w:val="22"/>
        </w:rPr>
        <w:t xml:space="preserve"> </w:t>
      </w:r>
      <w:r w:rsidRPr="00624127">
        <w:rPr>
          <w:rFonts w:ascii="Garamond" w:hAnsi="Garamond" w:cs="Times New Roman"/>
          <w:sz w:val="22"/>
        </w:rPr>
        <w:t>AGPS cat. no. 9321328.</w:t>
      </w:r>
    </w:p>
    <w:p w14:paraId="538F055E" w14:textId="42D581AB" w:rsidR="00E266CC" w:rsidRPr="00624127" w:rsidRDefault="00E266CC" w:rsidP="00A068BE">
      <w:pPr>
        <w:spacing w:line="240" w:lineRule="auto"/>
        <w:ind w:left="720" w:hanging="720"/>
        <w:rPr>
          <w:rFonts w:ascii="Garamond" w:hAnsi="Garamond" w:cs="Times New Roman"/>
          <w:sz w:val="22"/>
        </w:rPr>
      </w:pPr>
      <w:r w:rsidRPr="00624127">
        <w:rPr>
          <w:rFonts w:ascii="Garamond" w:hAnsi="Garamond" w:cs="Times New Roman"/>
          <w:sz w:val="22"/>
        </w:rPr>
        <w:t xml:space="preserve">Iannaccone, Laurence. (2012). “Extremism and the Economics of Religion.” </w:t>
      </w:r>
      <w:r w:rsidRPr="00624127">
        <w:rPr>
          <w:rFonts w:ascii="Garamond" w:hAnsi="Garamond" w:cs="Times New Roman"/>
          <w:i/>
          <w:iCs/>
          <w:sz w:val="22"/>
        </w:rPr>
        <w:t>Economic Record</w:t>
      </w:r>
      <w:r w:rsidR="00F36982" w:rsidRPr="00624127">
        <w:rPr>
          <w:rFonts w:ascii="Garamond" w:hAnsi="Garamond" w:cs="Times New Roman"/>
          <w:i/>
          <w:iCs/>
          <w:sz w:val="22"/>
        </w:rPr>
        <w:t xml:space="preserve"> </w:t>
      </w:r>
      <w:r w:rsidRPr="00624127">
        <w:rPr>
          <w:rFonts w:ascii="Garamond" w:hAnsi="Garamond" w:cs="Times New Roman"/>
          <w:sz w:val="22"/>
        </w:rPr>
        <w:t>88(Conference Issue): 110-15.</w:t>
      </w:r>
    </w:p>
    <w:p w14:paraId="30CDC410" w14:textId="77777777" w:rsidR="0096563A" w:rsidRPr="00624127" w:rsidRDefault="0096563A" w:rsidP="00A068BE">
      <w:pPr>
        <w:spacing w:line="240" w:lineRule="auto"/>
        <w:ind w:left="720" w:hanging="720"/>
        <w:rPr>
          <w:rFonts w:ascii="Garamond" w:hAnsi="Garamond" w:cs="Times New Roman"/>
          <w:sz w:val="22"/>
        </w:rPr>
      </w:pPr>
      <w:r w:rsidRPr="00624127">
        <w:rPr>
          <w:rFonts w:ascii="Garamond" w:hAnsi="Garamond" w:cs="Times New Roman"/>
          <w:sz w:val="22"/>
        </w:rPr>
        <w:t xml:space="preserve">Marginson, Simon (1997). </w:t>
      </w:r>
      <w:r w:rsidRPr="00624127">
        <w:rPr>
          <w:rFonts w:ascii="Garamond" w:hAnsi="Garamond" w:cs="Times New Roman"/>
          <w:i/>
          <w:iCs/>
          <w:sz w:val="22"/>
        </w:rPr>
        <w:t xml:space="preserve">Markets in Education </w:t>
      </w:r>
      <w:r w:rsidRPr="00624127">
        <w:rPr>
          <w:rFonts w:ascii="Garamond" w:hAnsi="Garamond" w:cs="Times New Roman"/>
          <w:sz w:val="22"/>
        </w:rPr>
        <w:t>St. Leonards, N.S.W., Allen &amp; Unwin.</w:t>
      </w:r>
    </w:p>
    <w:p w14:paraId="60E75647" w14:textId="1B6BD86B" w:rsidR="003E4364" w:rsidRPr="00624127" w:rsidRDefault="003E4364" w:rsidP="00A068BE">
      <w:pPr>
        <w:spacing w:line="240" w:lineRule="auto"/>
        <w:ind w:left="720" w:hanging="720"/>
        <w:rPr>
          <w:rFonts w:ascii="Garamond" w:hAnsi="Garamond" w:cs="Times New Roman"/>
          <w:sz w:val="22"/>
        </w:rPr>
      </w:pPr>
      <w:r w:rsidRPr="00624127">
        <w:rPr>
          <w:rFonts w:ascii="Garamond" w:hAnsi="Garamond" w:cs="Times New Roman"/>
          <w:sz w:val="22"/>
        </w:rPr>
        <w:t xml:space="preserve">Marginson, Simon (2007). “The Public/Private Divide in Higher Education: A Global Revision.” </w:t>
      </w:r>
      <w:r w:rsidRPr="00624127">
        <w:rPr>
          <w:rFonts w:ascii="Garamond" w:hAnsi="Garamond" w:cs="Times New Roman"/>
          <w:i/>
          <w:iCs/>
          <w:sz w:val="22"/>
        </w:rPr>
        <w:t>Higher Education</w:t>
      </w:r>
      <w:r w:rsidR="00F36982" w:rsidRPr="00624127">
        <w:rPr>
          <w:rFonts w:ascii="Garamond" w:hAnsi="Garamond" w:cs="Times New Roman"/>
          <w:i/>
          <w:iCs/>
          <w:sz w:val="22"/>
        </w:rPr>
        <w:t xml:space="preserve"> </w:t>
      </w:r>
      <w:r w:rsidRPr="00624127">
        <w:rPr>
          <w:rFonts w:ascii="Garamond" w:hAnsi="Garamond" w:cs="Times New Roman"/>
          <w:sz w:val="22"/>
        </w:rPr>
        <w:t>53: 307–33.</w:t>
      </w:r>
    </w:p>
    <w:p w14:paraId="25E5D20A" w14:textId="77777777" w:rsidR="004C321D" w:rsidRPr="00624127" w:rsidRDefault="004C321D" w:rsidP="00A068BE">
      <w:pPr>
        <w:spacing w:line="240" w:lineRule="auto"/>
        <w:ind w:left="720" w:hanging="720"/>
        <w:rPr>
          <w:rFonts w:ascii="Garamond" w:hAnsi="Garamond" w:cs="Times New Roman"/>
          <w:sz w:val="22"/>
        </w:rPr>
      </w:pPr>
      <w:proofErr w:type="spellStart"/>
      <w:r w:rsidRPr="00624127">
        <w:rPr>
          <w:rFonts w:ascii="Garamond" w:hAnsi="Garamond" w:cs="Times New Roman"/>
          <w:sz w:val="22"/>
        </w:rPr>
        <w:t>Melleuish</w:t>
      </w:r>
      <w:proofErr w:type="spellEnd"/>
      <w:r w:rsidRPr="00624127">
        <w:rPr>
          <w:rFonts w:ascii="Garamond" w:hAnsi="Garamond" w:cs="Times New Roman"/>
          <w:sz w:val="22"/>
        </w:rPr>
        <w:t xml:space="preserve">, Gregory (2013). </w:t>
      </w:r>
      <w:r w:rsidRPr="00624127">
        <w:rPr>
          <w:rFonts w:ascii="Garamond" w:hAnsi="Garamond" w:cs="Times New Roman"/>
          <w:i/>
          <w:iCs/>
          <w:sz w:val="22"/>
        </w:rPr>
        <w:t xml:space="preserve">Australian Intellectuals: Elitist, Adversarial and Damaging? </w:t>
      </w:r>
      <w:r w:rsidRPr="00624127">
        <w:rPr>
          <w:rFonts w:ascii="Garamond" w:hAnsi="Garamond" w:cs="Times New Roman"/>
          <w:sz w:val="22"/>
        </w:rPr>
        <w:t>Melbourne, Connor Court.</w:t>
      </w:r>
    </w:p>
    <w:p w14:paraId="422EB343" w14:textId="77777777" w:rsidR="00E37CBF" w:rsidRPr="00D7566F" w:rsidRDefault="00E37CBF" w:rsidP="00E37CBF">
      <w:pPr>
        <w:spacing w:line="240" w:lineRule="auto"/>
        <w:ind w:left="720" w:hanging="720"/>
        <w:rPr>
          <w:rFonts w:ascii="Garamond" w:hAnsi="Garamond" w:cs="Times New Roman"/>
          <w:sz w:val="22"/>
        </w:rPr>
      </w:pPr>
      <w:r w:rsidRPr="00D7566F">
        <w:rPr>
          <w:rFonts w:ascii="Garamond" w:hAnsi="Garamond" w:cs="Times New Roman"/>
          <w:sz w:val="22"/>
        </w:rPr>
        <w:t xml:space="preserve">NCLS Research (2001-16). </w:t>
      </w:r>
      <w:r w:rsidRPr="00D7566F">
        <w:rPr>
          <w:rFonts w:ascii="Garamond" w:hAnsi="Garamond" w:cs="Times New Roman"/>
          <w:i/>
          <w:iCs/>
          <w:sz w:val="22"/>
        </w:rPr>
        <w:t>National-Church-Life-Survey</w:t>
      </w:r>
      <w:r w:rsidRPr="00D7566F">
        <w:rPr>
          <w:rFonts w:ascii="Garamond" w:hAnsi="Garamond" w:cs="Times New Roman"/>
          <w:sz w:val="22"/>
        </w:rPr>
        <w:t xml:space="preserve">. Reports at </w:t>
      </w:r>
      <w:hyperlink r:id="rId9" w:history="1">
        <w:r w:rsidRPr="00D7566F">
          <w:rPr>
            <w:rStyle w:val="Hyperlink"/>
            <w:rFonts w:ascii="Garamond" w:hAnsi="Garamond" w:cs="Times New Roman"/>
            <w:sz w:val="22"/>
          </w:rPr>
          <w:t>https://www.ncls.org.au/</w:t>
        </w:r>
      </w:hyperlink>
    </w:p>
    <w:p w14:paraId="26D72661" w14:textId="77777777" w:rsidR="00181006" w:rsidRPr="00624127" w:rsidRDefault="00181006" w:rsidP="00A068BE">
      <w:pPr>
        <w:spacing w:line="240" w:lineRule="auto"/>
        <w:ind w:left="720" w:hanging="720"/>
        <w:rPr>
          <w:rFonts w:ascii="Garamond" w:hAnsi="Garamond" w:cs="Times New Roman"/>
          <w:sz w:val="22"/>
        </w:rPr>
      </w:pPr>
      <w:r w:rsidRPr="00624127">
        <w:rPr>
          <w:rFonts w:ascii="Garamond" w:hAnsi="Garamond" w:cs="Times New Roman"/>
          <w:sz w:val="22"/>
        </w:rPr>
        <w:t>Norton, A</w:t>
      </w:r>
      <w:r w:rsidR="00FD1035" w:rsidRPr="00624127">
        <w:rPr>
          <w:rFonts w:ascii="Garamond" w:hAnsi="Garamond" w:cs="Times New Roman"/>
          <w:sz w:val="22"/>
        </w:rPr>
        <w:t>ndrew</w:t>
      </w:r>
      <w:r w:rsidRPr="00624127">
        <w:rPr>
          <w:rFonts w:ascii="Garamond" w:hAnsi="Garamond" w:cs="Times New Roman"/>
          <w:sz w:val="22"/>
        </w:rPr>
        <w:t xml:space="preserve"> (2002). </w:t>
      </w:r>
      <w:r w:rsidRPr="00624127">
        <w:rPr>
          <w:rFonts w:ascii="Garamond" w:hAnsi="Garamond" w:cs="Times New Roman"/>
          <w:i/>
          <w:iCs/>
          <w:sz w:val="22"/>
        </w:rPr>
        <w:t xml:space="preserve">The Unchained University </w:t>
      </w:r>
      <w:r w:rsidRPr="00624127">
        <w:rPr>
          <w:rFonts w:ascii="Garamond" w:hAnsi="Garamond" w:cs="Times New Roman"/>
          <w:sz w:val="22"/>
        </w:rPr>
        <w:t>Sydney, Centre for Independent Studies.</w:t>
      </w:r>
    </w:p>
    <w:p w14:paraId="26E82265" w14:textId="4FC3CA57" w:rsidR="00181006" w:rsidRPr="00624127" w:rsidRDefault="00181006" w:rsidP="00A068BE">
      <w:pPr>
        <w:spacing w:line="240" w:lineRule="auto"/>
        <w:ind w:left="720" w:hanging="720"/>
        <w:rPr>
          <w:rFonts w:ascii="Garamond" w:hAnsi="Garamond" w:cs="Times New Roman"/>
          <w:sz w:val="22"/>
        </w:rPr>
      </w:pPr>
      <w:r w:rsidRPr="00624127">
        <w:rPr>
          <w:rFonts w:ascii="Garamond" w:hAnsi="Garamond" w:cs="Times New Roman"/>
          <w:sz w:val="22"/>
        </w:rPr>
        <w:t>Norton, A</w:t>
      </w:r>
      <w:r w:rsidR="00FD1035" w:rsidRPr="00624127">
        <w:rPr>
          <w:rFonts w:ascii="Garamond" w:hAnsi="Garamond" w:cs="Times New Roman"/>
          <w:sz w:val="22"/>
        </w:rPr>
        <w:t>ndrew</w:t>
      </w:r>
      <w:r w:rsidRPr="00624127">
        <w:rPr>
          <w:rFonts w:ascii="Garamond" w:hAnsi="Garamond" w:cs="Times New Roman"/>
          <w:sz w:val="22"/>
        </w:rPr>
        <w:t xml:space="preserve"> (2013). “The Future of Higher Education: Better but Not Necessarily Faster or Cheaper.” </w:t>
      </w:r>
      <w:r w:rsidRPr="00624127">
        <w:rPr>
          <w:rFonts w:ascii="Garamond" w:hAnsi="Garamond" w:cs="Times New Roman"/>
          <w:i/>
          <w:iCs/>
          <w:sz w:val="22"/>
        </w:rPr>
        <w:t>Policy</w:t>
      </w:r>
      <w:r w:rsidR="00F36982" w:rsidRPr="00624127">
        <w:rPr>
          <w:rFonts w:ascii="Garamond" w:hAnsi="Garamond" w:cs="Times New Roman"/>
          <w:i/>
          <w:iCs/>
          <w:sz w:val="22"/>
        </w:rPr>
        <w:t xml:space="preserve"> </w:t>
      </w:r>
      <w:r w:rsidRPr="00624127">
        <w:rPr>
          <w:rFonts w:ascii="Garamond" w:hAnsi="Garamond" w:cs="Times New Roman"/>
          <w:sz w:val="22"/>
        </w:rPr>
        <w:t>29(2): 10-4.</w:t>
      </w:r>
    </w:p>
    <w:p w14:paraId="327C3749" w14:textId="77777777" w:rsidR="00181006" w:rsidRPr="00624127" w:rsidRDefault="00181006" w:rsidP="00A068BE">
      <w:pPr>
        <w:spacing w:line="240" w:lineRule="auto"/>
        <w:ind w:left="720" w:hanging="720"/>
        <w:rPr>
          <w:rFonts w:ascii="Garamond" w:hAnsi="Garamond" w:cs="Times New Roman"/>
          <w:sz w:val="22"/>
        </w:rPr>
      </w:pPr>
      <w:r w:rsidRPr="00624127">
        <w:rPr>
          <w:rFonts w:ascii="Garamond" w:hAnsi="Garamond" w:cs="Times New Roman"/>
          <w:sz w:val="22"/>
        </w:rPr>
        <w:t>Norton, A</w:t>
      </w:r>
      <w:r w:rsidR="00FD1035" w:rsidRPr="00624127">
        <w:rPr>
          <w:rFonts w:ascii="Garamond" w:hAnsi="Garamond" w:cs="Times New Roman"/>
          <w:sz w:val="22"/>
        </w:rPr>
        <w:t>ndrew</w:t>
      </w:r>
      <w:r w:rsidRPr="00624127">
        <w:rPr>
          <w:rFonts w:ascii="Garamond" w:hAnsi="Garamond" w:cs="Times New Roman"/>
          <w:sz w:val="22"/>
        </w:rPr>
        <w:t xml:space="preserve"> (2016). </w:t>
      </w:r>
      <w:r w:rsidRPr="00624127">
        <w:rPr>
          <w:rFonts w:ascii="Garamond" w:hAnsi="Garamond" w:cs="Times New Roman"/>
          <w:i/>
          <w:iCs/>
          <w:sz w:val="22"/>
        </w:rPr>
        <w:t xml:space="preserve">Mapping Australian Higher Education </w:t>
      </w:r>
      <w:r w:rsidRPr="00624127">
        <w:rPr>
          <w:rFonts w:ascii="Garamond" w:hAnsi="Garamond" w:cs="Times New Roman"/>
          <w:sz w:val="22"/>
        </w:rPr>
        <w:t>Melbourne, Grattan Institute.</w:t>
      </w:r>
    </w:p>
    <w:p w14:paraId="6261C701" w14:textId="1C2B6B9F" w:rsidR="00181006" w:rsidRPr="00624127" w:rsidRDefault="00181006" w:rsidP="00A068BE">
      <w:pPr>
        <w:spacing w:line="240" w:lineRule="auto"/>
        <w:ind w:left="720" w:hanging="720"/>
        <w:rPr>
          <w:rFonts w:ascii="Garamond" w:hAnsi="Garamond" w:cs="Times New Roman"/>
          <w:sz w:val="22"/>
        </w:rPr>
      </w:pPr>
      <w:r w:rsidRPr="00624127">
        <w:rPr>
          <w:rFonts w:ascii="Garamond" w:hAnsi="Garamond" w:cs="Times New Roman"/>
          <w:sz w:val="22"/>
        </w:rPr>
        <w:t>Oslington, P. (2013). “The Place of Religion and Theology in the National Research System.”</w:t>
      </w:r>
      <w:r w:rsidR="00F36982" w:rsidRPr="00624127">
        <w:rPr>
          <w:rFonts w:ascii="Garamond" w:hAnsi="Garamond" w:cs="Times New Roman"/>
          <w:sz w:val="22"/>
        </w:rPr>
        <w:t xml:space="preserve"> </w:t>
      </w:r>
      <w:r w:rsidRPr="00624127">
        <w:rPr>
          <w:rFonts w:ascii="Garamond" w:hAnsi="Garamond" w:cs="Times New Roman"/>
          <w:sz w:val="22"/>
        </w:rPr>
        <w:t>Presented at CHASS Forum and Workshop on ARC and Theology, Canberra.</w:t>
      </w:r>
    </w:p>
    <w:p w14:paraId="5C1C693F" w14:textId="0F88AB9F" w:rsidR="00181006" w:rsidRPr="00624127" w:rsidRDefault="00181006" w:rsidP="00A068BE">
      <w:pPr>
        <w:spacing w:line="240" w:lineRule="auto"/>
        <w:ind w:left="720" w:hanging="720"/>
        <w:rPr>
          <w:rFonts w:ascii="Garamond" w:hAnsi="Garamond" w:cs="Times New Roman"/>
          <w:sz w:val="22"/>
        </w:rPr>
      </w:pPr>
      <w:r w:rsidRPr="00624127">
        <w:rPr>
          <w:rFonts w:ascii="Garamond" w:hAnsi="Garamond" w:cs="Times New Roman"/>
          <w:sz w:val="22"/>
        </w:rPr>
        <w:t xml:space="preserve">Oslington, P. (2014). “Religion and Australian Universities: Tales of Horror and Hope.” </w:t>
      </w:r>
      <w:r w:rsidRPr="00624127">
        <w:rPr>
          <w:rFonts w:ascii="Garamond" w:hAnsi="Garamond" w:cs="Times New Roman"/>
          <w:i/>
          <w:iCs/>
          <w:sz w:val="22"/>
        </w:rPr>
        <w:t>The Conversation</w:t>
      </w:r>
      <w:r w:rsidR="00F36982" w:rsidRPr="00624127">
        <w:rPr>
          <w:rFonts w:ascii="Garamond" w:hAnsi="Garamond" w:cs="Times New Roman"/>
          <w:i/>
          <w:iCs/>
          <w:sz w:val="22"/>
        </w:rPr>
        <w:t xml:space="preserve"> </w:t>
      </w:r>
      <w:r w:rsidRPr="00624127">
        <w:rPr>
          <w:rFonts w:ascii="Garamond" w:hAnsi="Garamond" w:cs="Times New Roman"/>
          <w:sz w:val="22"/>
        </w:rPr>
        <w:t>February.</w:t>
      </w:r>
      <w:r w:rsidR="00F36982" w:rsidRPr="00624127">
        <w:rPr>
          <w:rFonts w:ascii="Garamond" w:hAnsi="Garamond" w:cs="Times New Roman"/>
          <w:sz w:val="22"/>
        </w:rPr>
        <w:t xml:space="preserve"> </w:t>
      </w:r>
      <w:r w:rsidR="00A068BE" w:rsidRPr="00624127">
        <w:rPr>
          <w:rStyle w:val="Hyperlink"/>
          <w:rFonts w:ascii="Garamond" w:hAnsi="Garamond"/>
          <w:sz w:val="22"/>
        </w:rPr>
        <w:t>https://theconversation.com/australian-universities-and-religion-tales-of-horror-and-hope-23245</w:t>
      </w:r>
    </w:p>
    <w:p w14:paraId="48FE87B4" w14:textId="29E63B1E" w:rsidR="00181006" w:rsidRPr="00624127" w:rsidRDefault="00181006" w:rsidP="00A068BE">
      <w:pPr>
        <w:spacing w:line="240" w:lineRule="auto"/>
        <w:ind w:left="720" w:hanging="720"/>
        <w:rPr>
          <w:rFonts w:ascii="Garamond" w:hAnsi="Garamond" w:cs="Times New Roman"/>
          <w:sz w:val="22"/>
        </w:rPr>
      </w:pPr>
      <w:r w:rsidRPr="00624127">
        <w:rPr>
          <w:rFonts w:ascii="Garamond" w:hAnsi="Garamond" w:cs="Times New Roman"/>
          <w:sz w:val="22"/>
        </w:rPr>
        <w:t xml:space="preserve">Oslington, P. (2014). “Dose of Competition Can Lift Higher Education Productivity and Quality.” </w:t>
      </w:r>
      <w:r w:rsidRPr="00624127">
        <w:rPr>
          <w:rFonts w:ascii="Garamond" w:hAnsi="Garamond" w:cs="Times New Roman"/>
          <w:i/>
          <w:iCs/>
          <w:sz w:val="22"/>
        </w:rPr>
        <w:t>The Conversation</w:t>
      </w:r>
      <w:r w:rsidR="00F36982" w:rsidRPr="00624127">
        <w:rPr>
          <w:rFonts w:ascii="Garamond" w:hAnsi="Garamond" w:cs="Times New Roman"/>
          <w:i/>
          <w:iCs/>
          <w:sz w:val="22"/>
        </w:rPr>
        <w:t xml:space="preserve"> </w:t>
      </w:r>
      <w:r w:rsidRPr="00624127">
        <w:rPr>
          <w:rFonts w:ascii="Garamond" w:hAnsi="Garamond" w:cs="Times New Roman"/>
          <w:sz w:val="22"/>
        </w:rPr>
        <w:t>September.</w:t>
      </w:r>
      <w:r w:rsidR="00F36982" w:rsidRPr="00624127">
        <w:rPr>
          <w:rFonts w:ascii="Garamond" w:hAnsi="Garamond" w:cs="Times New Roman"/>
          <w:sz w:val="22"/>
        </w:rPr>
        <w:t xml:space="preserve"> </w:t>
      </w:r>
      <w:hyperlink r:id="rId10" w:history="1">
        <w:r w:rsidR="00402139" w:rsidRPr="00624127">
          <w:rPr>
            <w:rStyle w:val="Hyperlink"/>
            <w:rFonts w:ascii="Garamond" w:hAnsi="Garamond" w:cs="Times New Roman"/>
            <w:sz w:val="22"/>
          </w:rPr>
          <w:t>https://theconversation.com/dose-of-competition-can-lift-higher-education-productivity-and-quality-32019</w:t>
        </w:r>
      </w:hyperlink>
      <w:r w:rsidRPr="00624127">
        <w:rPr>
          <w:rFonts w:ascii="Garamond" w:hAnsi="Garamond" w:cs="Times New Roman"/>
          <w:sz w:val="22"/>
        </w:rPr>
        <w:t>.</w:t>
      </w:r>
    </w:p>
    <w:p w14:paraId="67A8DADB" w14:textId="32BFC9B5" w:rsidR="00402139" w:rsidRPr="00624127" w:rsidRDefault="00402139" w:rsidP="008624C2">
      <w:pPr>
        <w:autoSpaceDE w:val="0"/>
        <w:autoSpaceDN w:val="0"/>
        <w:adjustRightInd w:val="0"/>
        <w:spacing w:after="0" w:line="240" w:lineRule="auto"/>
        <w:ind w:left="720" w:hanging="720"/>
        <w:rPr>
          <w:rFonts w:ascii="Garamond" w:hAnsi="Garamond" w:cs="Times New Roman"/>
          <w:sz w:val="22"/>
        </w:rPr>
      </w:pPr>
      <w:r w:rsidRPr="00624127">
        <w:rPr>
          <w:rFonts w:ascii="Garamond" w:hAnsi="Garamond" w:cs="Times New Roman"/>
          <w:sz w:val="22"/>
        </w:rPr>
        <w:t xml:space="preserve">Oslington, P. (2016). “The New Normal? Pentecostalism Overtakes Anglicanism” </w:t>
      </w:r>
      <w:r w:rsidRPr="00624127">
        <w:rPr>
          <w:rFonts w:ascii="Garamond" w:hAnsi="Garamond" w:cs="Times New Roman"/>
          <w:i/>
          <w:iCs/>
          <w:sz w:val="22"/>
        </w:rPr>
        <w:t>ABC Religion &amp; Ethics</w:t>
      </w:r>
      <w:r w:rsidR="00F36982" w:rsidRPr="00624127">
        <w:rPr>
          <w:rFonts w:ascii="Garamond" w:hAnsi="Garamond" w:cs="Times New Roman"/>
          <w:i/>
          <w:iCs/>
          <w:sz w:val="22"/>
        </w:rPr>
        <w:t xml:space="preserve"> </w:t>
      </w:r>
      <w:r w:rsidRPr="00624127">
        <w:rPr>
          <w:rFonts w:ascii="Garamond" w:hAnsi="Garamond" w:cs="Times New Roman"/>
          <w:sz w:val="22"/>
        </w:rPr>
        <w:t>26 August</w:t>
      </w:r>
      <w:r w:rsidR="00F36982" w:rsidRPr="00624127">
        <w:rPr>
          <w:rFonts w:ascii="Garamond" w:hAnsi="Garamond" w:cs="Times New Roman"/>
          <w:sz w:val="22"/>
        </w:rPr>
        <w:t xml:space="preserve"> </w:t>
      </w:r>
      <w:hyperlink r:id="rId11" w:history="1">
        <w:r w:rsidR="00C72E7D" w:rsidRPr="00624127">
          <w:rPr>
            <w:rStyle w:val="Hyperlink"/>
            <w:rFonts w:ascii="Garamond" w:hAnsi="Garamond" w:cs="Times New Roman"/>
            <w:sz w:val="22"/>
          </w:rPr>
          <w:t>http://www.abc.net.au/religion/articles/2016/08/26/4527401.htm</w:t>
        </w:r>
      </w:hyperlink>
    </w:p>
    <w:p w14:paraId="463C84C9" w14:textId="6581F94D" w:rsidR="00855427" w:rsidRDefault="00855427" w:rsidP="00855427">
      <w:pPr>
        <w:pStyle w:val="Heading1"/>
        <w:shd w:val="clear" w:color="auto" w:fill="FFFFFF"/>
        <w:spacing w:before="0" w:beforeAutospacing="0" w:after="210" w:afterAutospacing="0"/>
        <w:ind w:left="720" w:hanging="720"/>
        <w:textAlignment w:val="baseline"/>
        <w:rPr>
          <w:rFonts w:ascii="Garamond" w:eastAsiaTheme="minorHAnsi" w:hAnsi="Garamond"/>
          <w:b w:val="0"/>
          <w:bCs w:val="0"/>
          <w:kern w:val="0"/>
          <w:sz w:val="22"/>
          <w:szCs w:val="22"/>
          <w:lang w:eastAsia="en-US"/>
        </w:rPr>
      </w:pPr>
      <w:proofErr w:type="spellStart"/>
      <w:r w:rsidRPr="00D7566F">
        <w:rPr>
          <w:rFonts w:ascii="Garamond" w:eastAsiaTheme="minorHAnsi" w:hAnsi="Garamond"/>
          <w:b w:val="0"/>
          <w:bCs w:val="0"/>
          <w:kern w:val="0"/>
          <w:sz w:val="22"/>
          <w:szCs w:val="22"/>
          <w:lang w:eastAsia="en-US"/>
        </w:rPr>
        <w:t>Palangkaraya</w:t>
      </w:r>
      <w:proofErr w:type="spellEnd"/>
      <w:r w:rsidRPr="00D7566F">
        <w:rPr>
          <w:rFonts w:ascii="Garamond" w:eastAsiaTheme="minorHAnsi" w:hAnsi="Garamond"/>
          <w:b w:val="0"/>
          <w:bCs w:val="0"/>
          <w:kern w:val="0"/>
          <w:sz w:val="22"/>
          <w:szCs w:val="22"/>
          <w:lang w:eastAsia="en-US"/>
        </w:rPr>
        <w:t>, A., T. Spurling and E. Webster (</w:t>
      </w:r>
      <w:r w:rsidRPr="00D7566F">
        <w:rPr>
          <w:rFonts w:eastAsiaTheme="minorHAnsi"/>
          <w:b w:val="0"/>
          <w:bCs w:val="0"/>
          <w:kern w:val="0"/>
          <w:sz w:val="22"/>
          <w:szCs w:val="22"/>
          <w:lang w:eastAsia="en-US"/>
        </w:rPr>
        <w:t>‎</w:t>
      </w:r>
      <w:r w:rsidRPr="00D7566F">
        <w:rPr>
          <w:rFonts w:ascii="Garamond" w:eastAsiaTheme="minorHAnsi" w:hAnsi="Garamond"/>
          <w:b w:val="0"/>
          <w:bCs w:val="0"/>
          <w:kern w:val="0"/>
          <w:sz w:val="22"/>
          <w:szCs w:val="22"/>
          <w:lang w:eastAsia="en-US"/>
        </w:rPr>
        <w:t xml:space="preserve">2016). </w:t>
      </w:r>
      <w:r w:rsidRPr="00D7566F">
        <w:rPr>
          <w:rFonts w:ascii="Garamond" w:eastAsiaTheme="minorHAnsi" w:hAnsi="Garamond" w:cs="Garamond"/>
          <w:b w:val="0"/>
          <w:bCs w:val="0"/>
          <w:kern w:val="0"/>
          <w:sz w:val="22"/>
          <w:szCs w:val="22"/>
          <w:lang w:eastAsia="en-US"/>
        </w:rPr>
        <w:t>“</w:t>
      </w:r>
      <w:r w:rsidRPr="00D7566F">
        <w:rPr>
          <w:rFonts w:ascii="Garamond" w:eastAsiaTheme="minorHAnsi" w:hAnsi="Garamond"/>
          <w:b w:val="0"/>
          <w:bCs w:val="0"/>
          <w:kern w:val="0"/>
          <w:sz w:val="22"/>
          <w:szCs w:val="22"/>
          <w:lang w:eastAsia="en-US"/>
        </w:rPr>
        <w:t>What Drives Firm Innovation?</w:t>
      </w:r>
      <w:r w:rsidRPr="00D7566F">
        <w:rPr>
          <w:rFonts w:ascii="Garamond" w:eastAsiaTheme="minorHAnsi" w:hAnsi="Garamond" w:cs="Garamond"/>
          <w:b w:val="0"/>
          <w:bCs w:val="0"/>
          <w:kern w:val="0"/>
          <w:sz w:val="22"/>
          <w:szCs w:val="22"/>
          <w:lang w:eastAsia="en-US"/>
        </w:rPr>
        <w:t>”</w:t>
      </w:r>
      <w:r w:rsidRPr="00D7566F">
        <w:rPr>
          <w:rFonts w:ascii="Garamond" w:eastAsiaTheme="minorHAnsi" w:hAnsi="Garamond"/>
          <w:b w:val="0"/>
          <w:bCs w:val="0"/>
          <w:kern w:val="0"/>
          <w:sz w:val="22"/>
          <w:szCs w:val="22"/>
          <w:lang w:eastAsia="en-US"/>
        </w:rPr>
        <w:t xml:space="preserve"> Australian Council of Learned Academies </w:t>
      </w:r>
      <w:hyperlink r:id="rId12" w:history="1">
        <w:r w:rsidRPr="00D7566F">
          <w:rPr>
            <w:rStyle w:val="Hyperlink"/>
            <w:rFonts w:ascii="Garamond" w:eastAsiaTheme="minorHAnsi" w:hAnsi="Garamond"/>
            <w:b w:val="0"/>
            <w:bCs w:val="0"/>
            <w:kern w:val="0"/>
            <w:sz w:val="22"/>
            <w:szCs w:val="22"/>
            <w:lang w:eastAsia="en-US"/>
          </w:rPr>
          <w:t>https://acola.org.au/wp/PDF/SAF10/Webster.pdf</w:t>
        </w:r>
      </w:hyperlink>
      <w:r w:rsidRPr="00D7566F">
        <w:rPr>
          <w:rFonts w:ascii="Garamond" w:eastAsiaTheme="minorHAnsi" w:hAnsi="Garamond"/>
          <w:b w:val="0"/>
          <w:bCs w:val="0"/>
          <w:kern w:val="0"/>
          <w:sz w:val="22"/>
          <w:szCs w:val="22"/>
          <w:lang w:eastAsia="en-US"/>
        </w:rPr>
        <w:t>.</w:t>
      </w:r>
    </w:p>
    <w:p w14:paraId="7C4DDDF3" w14:textId="77777777" w:rsidR="000C5DED" w:rsidRPr="00624127" w:rsidRDefault="000C5DED" w:rsidP="000C5DED">
      <w:pPr>
        <w:pStyle w:val="Heading1"/>
        <w:shd w:val="clear" w:color="auto" w:fill="FFFFFF"/>
        <w:spacing w:before="0" w:beforeAutospacing="0" w:after="210" w:afterAutospacing="0"/>
        <w:ind w:left="720" w:hanging="720"/>
        <w:textAlignment w:val="baseline"/>
        <w:rPr>
          <w:rFonts w:ascii="Garamond" w:eastAsiaTheme="minorHAnsi" w:hAnsi="Garamond"/>
          <w:b w:val="0"/>
          <w:bCs w:val="0"/>
          <w:kern w:val="0"/>
          <w:sz w:val="22"/>
          <w:szCs w:val="22"/>
          <w:lang w:eastAsia="en-US"/>
        </w:rPr>
      </w:pPr>
      <w:r w:rsidRPr="00624127">
        <w:rPr>
          <w:rFonts w:ascii="Garamond" w:eastAsiaTheme="minorHAnsi" w:hAnsi="Garamond"/>
          <w:b w:val="0"/>
          <w:bCs w:val="0"/>
          <w:kern w:val="0"/>
          <w:sz w:val="22"/>
          <w:szCs w:val="22"/>
          <w:lang w:eastAsia="en-US"/>
        </w:rPr>
        <w:t xml:space="preserve">Parker, Stephen et </w:t>
      </w:r>
      <w:proofErr w:type="spellStart"/>
      <w:r w:rsidRPr="00624127">
        <w:rPr>
          <w:rFonts w:ascii="Garamond" w:eastAsiaTheme="minorHAnsi" w:hAnsi="Garamond"/>
          <w:b w:val="0"/>
          <w:bCs w:val="0"/>
          <w:kern w:val="0"/>
          <w:sz w:val="22"/>
          <w:szCs w:val="22"/>
          <w:lang w:eastAsia="en-US"/>
        </w:rPr>
        <w:t>als</w:t>
      </w:r>
      <w:proofErr w:type="spellEnd"/>
      <w:r w:rsidRPr="00624127">
        <w:rPr>
          <w:rFonts w:ascii="Garamond" w:eastAsiaTheme="minorHAnsi" w:hAnsi="Garamond"/>
          <w:b w:val="0"/>
          <w:bCs w:val="0"/>
          <w:kern w:val="0"/>
          <w:sz w:val="22"/>
          <w:szCs w:val="22"/>
          <w:lang w:eastAsia="en-US"/>
        </w:rPr>
        <w:t xml:space="preserve"> (2018) </w:t>
      </w:r>
      <w:r w:rsidRPr="00624127">
        <w:rPr>
          <w:rFonts w:ascii="Garamond" w:eastAsiaTheme="minorHAnsi" w:hAnsi="Garamond"/>
          <w:b w:val="0"/>
          <w:bCs w:val="0"/>
          <w:i/>
          <w:kern w:val="0"/>
          <w:sz w:val="22"/>
          <w:szCs w:val="22"/>
          <w:lang w:eastAsia="en-US"/>
        </w:rPr>
        <w:t>Reimagining tertiary education: From binary system to ecosystem</w:t>
      </w:r>
      <w:r w:rsidRPr="00624127">
        <w:rPr>
          <w:rFonts w:ascii="Garamond" w:eastAsiaTheme="minorHAnsi" w:hAnsi="Garamond"/>
          <w:b w:val="0"/>
          <w:bCs w:val="0"/>
          <w:kern w:val="0"/>
          <w:sz w:val="22"/>
          <w:szCs w:val="22"/>
          <w:lang w:eastAsia="en-US"/>
        </w:rPr>
        <w:t xml:space="preserve">. KPMG Report </w:t>
      </w:r>
      <w:hyperlink r:id="rId13" w:history="1">
        <w:r w:rsidRPr="00624127">
          <w:rPr>
            <w:rStyle w:val="Hyperlink"/>
            <w:rFonts w:ascii="Garamond" w:eastAsiaTheme="minorHAnsi" w:hAnsi="Garamond"/>
            <w:b w:val="0"/>
            <w:bCs w:val="0"/>
            <w:kern w:val="0"/>
            <w:sz w:val="22"/>
            <w:szCs w:val="22"/>
            <w:lang w:eastAsia="en-US"/>
          </w:rPr>
          <w:t>https://home.kpmg.com/au/en/home/insights/2018/08/reimagining-tertiary-education.html</w:t>
        </w:r>
      </w:hyperlink>
    </w:p>
    <w:p w14:paraId="5248B0DB" w14:textId="77777777" w:rsidR="000C5DED" w:rsidRPr="00624127" w:rsidRDefault="000C5DED" w:rsidP="000C5DED">
      <w:pPr>
        <w:spacing w:line="240" w:lineRule="auto"/>
        <w:ind w:left="720" w:hanging="720"/>
        <w:rPr>
          <w:rFonts w:ascii="Garamond" w:hAnsi="Garamond" w:cs="Times New Roman"/>
          <w:sz w:val="22"/>
        </w:rPr>
      </w:pPr>
      <w:r w:rsidRPr="00624127">
        <w:rPr>
          <w:rFonts w:ascii="Garamond" w:hAnsi="Garamond" w:cs="Times New Roman"/>
          <w:sz w:val="22"/>
        </w:rPr>
        <w:t xml:space="preserve">Riches, Tanya and T. Wagner, Eds. (2018). </w:t>
      </w:r>
      <w:r w:rsidRPr="00624127">
        <w:rPr>
          <w:rFonts w:ascii="Garamond" w:hAnsi="Garamond" w:cs="Times New Roman"/>
          <w:i/>
          <w:iCs/>
          <w:sz w:val="22"/>
        </w:rPr>
        <w:t>The Hillsong Movement Examined: You Call Me out Upon the Waters</w:t>
      </w:r>
      <w:r w:rsidRPr="00624127">
        <w:rPr>
          <w:rFonts w:ascii="Garamond" w:hAnsi="Garamond" w:cs="Times New Roman"/>
          <w:sz w:val="22"/>
        </w:rPr>
        <w:t>. Melbourne, Palgrave Macmillan.</w:t>
      </w:r>
    </w:p>
    <w:p w14:paraId="49B5ABE2" w14:textId="77777777" w:rsidR="000C5DED" w:rsidRPr="00624127" w:rsidRDefault="000C5DED" w:rsidP="000C5DED">
      <w:pPr>
        <w:spacing w:line="240" w:lineRule="auto"/>
        <w:ind w:left="720" w:hanging="720"/>
        <w:rPr>
          <w:rFonts w:ascii="Garamond" w:hAnsi="Garamond" w:cs="Times New Roman"/>
          <w:sz w:val="22"/>
        </w:rPr>
      </w:pPr>
      <w:proofErr w:type="spellStart"/>
      <w:r w:rsidRPr="00624127">
        <w:rPr>
          <w:rFonts w:ascii="Garamond" w:hAnsi="Garamond" w:cs="Times New Roman"/>
          <w:sz w:val="22"/>
        </w:rPr>
        <w:t>Shergold</w:t>
      </w:r>
      <w:proofErr w:type="spellEnd"/>
      <w:r w:rsidRPr="00624127">
        <w:rPr>
          <w:rFonts w:ascii="Garamond" w:hAnsi="Garamond" w:cs="Times New Roman"/>
          <w:sz w:val="22"/>
        </w:rPr>
        <w:t xml:space="preserve">, Peter (2016). </w:t>
      </w:r>
      <w:r w:rsidRPr="00624127">
        <w:rPr>
          <w:rFonts w:ascii="Garamond" w:hAnsi="Garamond" w:cs="Times New Roman"/>
          <w:i/>
          <w:iCs/>
          <w:sz w:val="22"/>
        </w:rPr>
        <w:t>Learning from Failure: Why Large Government Policy Initiatives Have Gone So Badly Wrong in the Past and How the Chances of Success in the Future Can Be Improved</w:t>
      </w:r>
      <w:r w:rsidRPr="00624127">
        <w:rPr>
          <w:rFonts w:ascii="Garamond" w:hAnsi="Garamond" w:cs="Times New Roman"/>
          <w:sz w:val="22"/>
        </w:rPr>
        <w:t>. Canberra: Australian Public Service Commission.</w:t>
      </w:r>
    </w:p>
    <w:p w14:paraId="598FCD46" w14:textId="77777777" w:rsidR="000C5DED" w:rsidRPr="00624127" w:rsidRDefault="000C5DED" w:rsidP="000C5DED">
      <w:pPr>
        <w:spacing w:line="240" w:lineRule="auto"/>
        <w:ind w:left="720" w:hanging="720"/>
        <w:rPr>
          <w:rStyle w:val="Hyperlink"/>
          <w:rFonts w:ascii="Garamond" w:hAnsi="Garamond"/>
          <w:sz w:val="22"/>
        </w:rPr>
      </w:pPr>
      <w:r w:rsidRPr="00624127">
        <w:rPr>
          <w:rFonts w:ascii="Garamond" w:hAnsi="Garamond" w:cs="Times New Roman"/>
          <w:sz w:val="22"/>
        </w:rPr>
        <w:t xml:space="preserve">Warburton, Mark (2017) “Beyond the Demand Driven Obsession and Policy Impasse” </w:t>
      </w:r>
      <w:r w:rsidRPr="00624127">
        <w:rPr>
          <w:rFonts w:ascii="Garamond" w:hAnsi="Garamond" w:cs="Times New Roman"/>
          <w:i/>
          <w:iCs/>
          <w:sz w:val="22"/>
        </w:rPr>
        <w:t xml:space="preserve">Campus Morning Mail </w:t>
      </w:r>
      <w:hyperlink r:id="rId14" w:history="1">
        <w:r w:rsidRPr="00624127">
          <w:rPr>
            <w:rStyle w:val="Hyperlink"/>
            <w:rFonts w:ascii="Garamond" w:hAnsi="Garamond" w:cs="Times New Roman"/>
            <w:sz w:val="22"/>
          </w:rPr>
          <w:t>https://campusmorningmail.com.au/news/beyond-the-demand-driven-obsession-and-policy-impasse</w:t>
        </w:r>
      </w:hyperlink>
    </w:p>
    <w:p w14:paraId="7CC2DDE7" w14:textId="77777777" w:rsidR="000C5DED" w:rsidRPr="00624127" w:rsidRDefault="000C5DED" w:rsidP="000C5DED">
      <w:pPr>
        <w:spacing w:line="240" w:lineRule="auto"/>
        <w:ind w:left="720" w:hanging="720"/>
        <w:rPr>
          <w:rFonts w:ascii="Garamond" w:hAnsi="Garamond"/>
          <w:sz w:val="22"/>
        </w:rPr>
      </w:pPr>
      <w:r w:rsidRPr="00624127">
        <w:rPr>
          <w:rFonts w:ascii="Garamond" w:hAnsi="Garamond" w:cs="Times New Roman"/>
          <w:sz w:val="22"/>
        </w:rPr>
        <w:t xml:space="preserve">Withers, Glenn (2014). "The State of the Universities" in </w:t>
      </w:r>
      <w:r w:rsidRPr="00624127">
        <w:rPr>
          <w:rFonts w:ascii="Garamond" w:hAnsi="Garamond" w:cs="Times New Roman"/>
          <w:i/>
          <w:iCs/>
          <w:sz w:val="22"/>
        </w:rPr>
        <w:t>Through a Glass Darkly: The Social Sciences Look at the Neoliberal University</w:t>
      </w:r>
      <w:r w:rsidRPr="00624127">
        <w:rPr>
          <w:rFonts w:ascii="Garamond" w:hAnsi="Garamond" w:cs="Times New Roman"/>
          <w:sz w:val="22"/>
        </w:rPr>
        <w:t xml:space="preserve"> edited by M. Thornton. Canberra, ANU Press</w:t>
      </w:r>
      <w:r w:rsidRPr="00624127">
        <w:rPr>
          <w:rFonts w:ascii="Garamond" w:hAnsi="Garamond" w:cs="Times New Roman"/>
          <w:b/>
          <w:bCs/>
          <w:sz w:val="22"/>
        </w:rPr>
        <w:t xml:space="preserve">: </w:t>
      </w:r>
      <w:r w:rsidRPr="00624127">
        <w:rPr>
          <w:rFonts w:ascii="Garamond" w:hAnsi="Garamond" w:cs="Times New Roman"/>
          <w:sz w:val="22"/>
        </w:rPr>
        <w:t>103-17.</w:t>
      </w:r>
    </w:p>
    <w:p w14:paraId="596F47A6" w14:textId="636720AE" w:rsidR="00A068BE" w:rsidRPr="00624127" w:rsidRDefault="00A068BE" w:rsidP="000C5DED">
      <w:pPr>
        <w:pStyle w:val="Heading1"/>
        <w:shd w:val="clear" w:color="auto" w:fill="FFFFFF"/>
        <w:spacing w:before="0" w:beforeAutospacing="0" w:after="210" w:afterAutospacing="0"/>
        <w:ind w:left="720" w:hanging="720"/>
        <w:textAlignment w:val="baseline"/>
        <w:rPr>
          <w:rFonts w:ascii="Garamond" w:hAnsi="Garamond"/>
          <w:sz w:val="22"/>
        </w:rPr>
      </w:pPr>
    </w:p>
    <w:sectPr w:rsidR="00A068BE" w:rsidRPr="00624127" w:rsidSect="005E56D2">
      <w:footerReference w:type="default" r:id="rId15"/>
      <w:pgSz w:w="11906" w:h="16838" w:code="9"/>
      <w:pgMar w:top="1134" w:right="1134" w:bottom="794" w:left="1134" w:header="45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4135B" w14:textId="77777777" w:rsidR="003E77F2" w:rsidRDefault="003E77F2" w:rsidP="005E56D2">
      <w:pPr>
        <w:spacing w:after="0" w:line="240" w:lineRule="auto"/>
      </w:pPr>
      <w:r>
        <w:separator/>
      </w:r>
    </w:p>
  </w:endnote>
  <w:endnote w:type="continuationSeparator" w:id="0">
    <w:p w14:paraId="35F55E3B" w14:textId="77777777" w:rsidR="003E77F2" w:rsidRDefault="003E77F2" w:rsidP="005E5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2817883"/>
      <w:docPartObj>
        <w:docPartGallery w:val="Page Numbers (Bottom of Page)"/>
        <w:docPartUnique/>
      </w:docPartObj>
    </w:sdtPr>
    <w:sdtEndPr>
      <w:rPr>
        <w:noProof/>
      </w:rPr>
    </w:sdtEndPr>
    <w:sdtContent>
      <w:p w14:paraId="63EA1FD7" w14:textId="77777777" w:rsidR="006B09A4" w:rsidRDefault="006B09A4">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14:paraId="27D4685A" w14:textId="77777777" w:rsidR="006B09A4" w:rsidRDefault="006B09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DFE34" w14:textId="77777777" w:rsidR="003E77F2" w:rsidRDefault="003E77F2" w:rsidP="005E56D2">
      <w:pPr>
        <w:spacing w:after="0" w:line="240" w:lineRule="auto"/>
      </w:pPr>
      <w:r>
        <w:separator/>
      </w:r>
    </w:p>
  </w:footnote>
  <w:footnote w:type="continuationSeparator" w:id="0">
    <w:p w14:paraId="3A1C6793" w14:textId="77777777" w:rsidR="003E77F2" w:rsidRDefault="003E77F2" w:rsidP="005E56D2">
      <w:pPr>
        <w:spacing w:after="0" w:line="240" w:lineRule="auto"/>
      </w:pPr>
      <w:r>
        <w:continuationSeparator/>
      </w:r>
    </w:p>
  </w:footnote>
  <w:footnote w:id="1">
    <w:p w14:paraId="315B18D8" w14:textId="0D79C91D" w:rsidR="00FA7818" w:rsidRPr="00C02CF0" w:rsidRDefault="00FA7818">
      <w:pPr>
        <w:pStyle w:val="FootnoteText"/>
        <w:rPr>
          <w:rFonts w:ascii="Garamond" w:hAnsi="Garamond"/>
          <w:sz w:val="22"/>
          <w:szCs w:val="22"/>
        </w:rPr>
      </w:pPr>
      <w:r w:rsidRPr="00C02CF0">
        <w:rPr>
          <w:rStyle w:val="FootnoteReference"/>
          <w:rFonts w:ascii="Garamond" w:hAnsi="Garamond"/>
          <w:sz w:val="22"/>
          <w:szCs w:val="22"/>
        </w:rPr>
        <w:footnoteRef/>
      </w:r>
      <w:r w:rsidRPr="00C02CF0">
        <w:rPr>
          <w:rFonts w:ascii="Garamond" w:hAnsi="Garamond"/>
          <w:sz w:val="22"/>
          <w:szCs w:val="22"/>
        </w:rPr>
        <w:t xml:space="preserve"> Glyn Davis (2017) provides a good recent history</w:t>
      </w:r>
      <w:r w:rsidR="00AA12AE" w:rsidRPr="00C02CF0">
        <w:rPr>
          <w:rFonts w:ascii="Garamond" w:hAnsi="Garamond"/>
          <w:sz w:val="22"/>
          <w:szCs w:val="22"/>
        </w:rPr>
        <w:t xml:space="preserve"> of Australian higher education policy</w:t>
      </w:r>
      <w:r w:rsidR="004C321D" w:rsidRPr="00C02CF0">
        <w:rPr>
          <w:rFonts w:ascii="Garamond" w:hAnsi="Garamond"/>
          <w:sz w:val="22"/>
          <w:szCs w:val="22"/>
        </w:rPr>
        <w:t>.</w:t>
      </w:r>
      <w:r w:rsidR="00F36982" w:rsidRPr="00C02CF0">
        <w:rPr>
          <w:rFonts w:ascii="Garamond" w:hAnsi="Garamond"/>
          <w:sz w:val="22"/>
          <w:szCs w:val="22"/>
        </w:rPr>
        <w:t xml:space="preserve"> </w:t>
      </w:r>
      <w:r w:rsidRPr="00C02CF0">
        <w:rPr>
          <w:rFonts w:ascii="Garamond" w:hAnsi="Garamond"/>
          <w:sz w:val="22"/>
          <w:szCs w:val="22"/>
        </w:rPr>
        <w:t xml:space="preserve">Andrew Norton (2016) </w:t>
      </w:r>
      <w:r w:rsidR="001E34B3" w:rsidRPr="00C02CF0">
        <w:rPr>
          <w:rFonts w:ascii="Garamond" w:hAnsi="Garamond"/>
          <w:sz w:val="22"/>
          <w:szCs w:val="22"/>
        </w:rPr>
        <w:t xml:space="preserve">provides </w:t>
      </w:r>
      <w:r w:rsidRPr="00C02CF0">
        <w:rPr>
          <w:rFonts w:ascii="Garamond" w:hAnsi="Garamond"/>
          <w:sz w:val="22"/>
          <w:szCs w:val="22"/>
        </w:rPr>
        <w:t>a snapshot of the current state of the system.</w:t>
      </w:r>
    </w:p>
  </w:footnote>
  <w:footnote w:id="2">
    <w:p w14:paraId="0ED4EAD7" w14:textId="2ACDCF5A" w:rsidR="00AA12AE" w:rsidRPr="00C02CF0" w:rsidRDefault="00AA12AE">
      <w:pPr>
        <w:pStyle w:val="FootnoteText"/>
        <w:rPr>
          <w:rFonts w:ascii="Garamond" w:hAnsi="Garamond"/>
          <w:sz w:val="22"/>
          <w:szCs w:val="22"/>
        </w:rPr>
      </w:pPr>
      <w:r w:rsidRPr="00C02CF0">
        <w:rPr>
          <w:rStyle w:val="FootnoteReference"/>
          <w:rFonts w:ascii="Garamond" w:hAnsi="Garamond"/>
          <w:sz w:val="22"/>
          <w:szCs w:val="22"/>
        </w:rPr>
        <w:footnoteRef/>
      </w:r>
      <w:r w:rsidRPr="00C02CF0">
        <w:rPr>
          <w:rFonts w:ascii="Garamond" w:hAnsi="Garamond"/>
          <w:sz w:val="22"/>
          <w:szCs w:val="22"/>
        </w:rPr>
        <w:t xml:space="preserve"> It is interesting to contrast Australia’s</w:t>
      </w:r>
      <w:r w:rsidR="001E34B3" w:rsidRPr="00C02CF0">
        <w:rPr>
          <w:rFonts w:ascii="Garamond" w:hAnsi="Garamond"/>
          <w:sz w:val="22"/>
          <w:szCs w:val="22"/>
        </w:rPr>
        <w:t xml:space="preserve"> higher education policy </w:t>
      </w:r>
      <w:r w:rsidR="00C65CF4" w:rsidRPr="00C02CF0">
        <w:rPr>
          <w:rFonts w:ascii="Garamond" w:hAnsi="Garamond"/>
          <w:sz w:val="22"/>
          <w:szCs w:val="22"/>
        </w:rPr>
        <w:t>arrangements with</w:t>
      </w:r>
      <w:r w:rsidR="001E34B3" w:rsidRPr="00C02CF0">
        <w:rPr>
          <w:rFonts w:ascii="Garamond" w:hAnsi="Garamond"/>
          <w:sz w:val="22"/>
          <w:szCs w:val="22"/>
        </w:rPr>
        <w:t xml:space="preserve"> </w:t>
      </w:r>
      <w:r w:rsidRPr="00C02CF0">
        <w:rPr>
          <w:rFonts w:ascii="Garamond" w:hAnsi="Garamond"/>
          <w:sz w:val="22"/>
          <w:szCs w:val="22"/>
        </w:rPr>
        <w:t xml:space="preserve">school </w:t>
      </w:r>
      <w:r w:rsidR="001E34B3" w:rsidRPr="00C02CF0">
        <w:rPr>
          <w:rFonts w:ascii="Garamond" w:hAnsi="Garamond"/>
          <w:sz w:val="22"/>
          <w:szCs w:val="22"/>
        </w:rPr>
        <w:t xml:space="preserve">policy </w:t>
      </w:r>
      <w:r w:rsidRPr="00C02CF0">
        <w:rPr>
          <w:rFonts w:ascii="Garamond" w:hAnsi="Garamond"/>
          <w:sz w:val="22"/>
          <w:szCs w:val="22"/>
        </w:rPr>
        <w:t>arrangements</w:t>
      </w:r>
      <w:r w:rsidR="008E19A2">
        <w:rPr>
          <w:rFonts w:ascii="Garamond" w:hAnsi="Garamond"/>
          <w:sz w:val="22"/>
          <w:szCs w:val="22"/>
        </w:rPr>
        <w:t>,</w:t>
      </w:r>
      <w:r w:rsidRPr="00C02CF0">
        <w:rPr>
          <w:rFonts w:ascii="Garamond" w:hAnsi="Garamond"/>
          <w:sz w:val="22"/>
          <w:szCs w:val="22"/>
        </w:rPr>
        <w:t xml:space="preserve"> which are some of the most </w:t>
      </w:r>
      <w:r w:rsidR="001E34B3" w:rsidRPr="00C02CF0">
        <w:rPr>
          <w:rFonts w:ascii="Garamond" w:hAnsi="Garamond"/>
          <w:sz w:val="22"/>
          <w:szCs w:val="22"/>
        </w:rPr>
        <w:t>neutral</w:t>
      </w:r>
      <w:r w:rsidR="008E19A2">
        <w:rPr>
          <w:rFonts w:ascii="Garamond" w:hAnsi="Garamond"/>
          <w:sz w:val="22"/>
          <w:szCs w:val="22"/>
        </w:rPr>
        <w:t>,</w:t>
      </w:r>
      <w:r w:rsidR="001E34B3" w:rsidRPr="00C02CF0">
        <w:rPr>
          <w:rFonts w:ascii="Garamond" w:hAnsi="Garamond"/>
          <w:sz w:val="22"/>
          <w:szCs w:val="22"/>
        </w:rPr>
        <w:t xml:space="preserve"> between public and private schools</w:t>
      </w:r>
      <w:r w:rsidR="00F36AC9" w:rsidRPr="00C02CF0">
        <w:rPr>
          <w:rFonts w:ascii="Garamond" w:hAnsi="Garamond"/>
          <w:sz w:val="22"/>
          <w:szCs w:val="22"/>
        </w:rPr>
        <w:t xml:space="preserve"> anywhere in the world</w:t>
      </w:r>
      <w:r w:rsidR="001E34B3" w:rsidRPr="00C02CF0">
        <w:rPr>
          <w:rFonts w:ascii="Garamond" w:hAnsi="Garamond"/>
          <w:sz w:val="22"/>
          <w:szCs w:val="22"/>
        </w:rPr>
        <w:t xml:space="preserve">, and </w:t>
      </w:r>
      <w:r w:rsidR="00F36AC9" w:rsidRPr="00C02CF0">
        <w:rPr>
          <w:rFonts w:ascii="Garamond" w:hAnsi="Garamond"/>
          <w:sz w:val="22"/>
          <w:szCs w:val="22"/>
        </w:rPr>
        <w:t xml:space="preserve">quite </w:t>
      </w:r>
      <w:r w:rsidR="001E34B3" w:rsidRPr="00C02CF0">
        <w:rPr>
          <w:rFonts w:ascii="Garamond" w:hAnsi="Garamond"/>
          <w:sz w:val="22"/>
          <w:szCs w:val="22"/>
        </w:rPr>
        <w:t>supportive of new private entrants</w:t>
      </w:r>
      <w:r w:rsidR="009E4D54" w:rsidRPr="00C02CF0">
        <w:rPr>
          <w:rFonts w:ascii="Garamond" w:hAnsi="Garamond"/>
          <w:sz w:val="22"/>
          <w:szCs w:val="22"/>
        </w:rPr>
        <w:t>.</w:t>
      </w:r>
      <w:r w:rsidR="00F36982" w:rsidRPr="00C02CF0">
        <w:rPr>
          <w:rFonts w:ascii="Garamond" w:hAnsi="Garamond"/>
          <w:sz w:val="22"/>
          <w:szCs w:val="22"/>
        </w:rPr>
        <w:t xml:space="preserve"> </w:t>
      </w:r>
      <w:r w:rsidR="009E4D54" w:rsidRPr="00C02CF0">
        <w:rPr>
          <w:rFonts w:ascii="Garamond" w:hAnsi="Garamond"/>
          <w:sz w:val="22"/>
          <w:szCs w:val="22"/>
        </w:rPr>
        <w:t>The potential for schools in Australia to take advantage of this has been limited by bureaucrats and unions.</w:t>
      </w:r>
    </w:p>
  </w:footnote>
  <w:footnote w:id="3">
    <w:p w14:paraId="194201D1" w14:textId="2723568F" w:rsidR="00335DFA" w:rsidRPr="00C02CF0" w:rsidRDefault="00335DFA">
      <w:pPr>
        <w:pStyle w:val="FootnoteText"/>
        <w:rPr>
          <w:rFonts w:ascii="Garamond" w:hAnsi="Garamond"/>
          <w:sz w:val="22"/>
          <w:szCs w:val="22"/>
        </w:rPr>
      </w:pPr>
      <w:r w:rsidRPr="00C02CF0">
        <w:rPr>
          <w:rStyle w:val="FootnoteReference"/>
          <w:rFonts w:ascii="Garamond" w:hAnsi="Garamond"/>
          <w:sz w:val="22"/>
          <w:szCs w:val="22"/>
        </w:rPr>
        <w:footnoteRef/>
      </w:r>
      <w:r w:rsidRPr="00C02CF0">
        <w:rPr>
          <w:rFonts w:ascii="Garamond" w:hAnsi="Garamond"/>
          <w:sz w:val="22"/>
          <w:szCs w:val="22"/>
        </w:rPr>
        <w:t xml:space="preserve"> </w:t>
      </w:r>
      <w:proofErr w:type="spellStart"/>
      <w:r w:rsidRPr="00C02CF0">
        <w:rPr>
          <w:rFonts w:ascii="Garamond" w:hAnsi="Garamond"/>
          <w:sz w:val="22"/>
          <w:szCs w:val="22"/>
        </w:rPr>
        <w:t>Frijters</w:t>
      </w:r>
      <w:proofErr w:type="spellEnd"/>
      <w:r w:rsidRPr="00C02CF0">
        <w:rPr>
          <w:rFonts w:ascii="Garamond" w:hAnsi="Garamond"/>
          <w:sz w:val="22"/>
          <w:szCs w:val="22"/>
        </w:rPr>
        <w:t xml:space="preserve"> and Murray (2016) briefly discuss the university dimensions of Australia’s game of mates, their elegant expression for cosy and lucrative web of government-corporate relationships that strips wealth from ordinary Australians.</w:t>
      </w:r>
    </w:p>
  </w:footnote>
  <w:footnote w:id="4">
    <w:p w14:paraId="144C5BE3" w14:textId="75E1A35D" w:rsidR="00420360" w:rsidRPr="00C02CF0" w:rsidRDefault="00420360">
      <w:pPr>
        <w:pStyle w:val="FootnoteText"/>
        <w:rPr>
          <w:rFonts w:ascii="Garamond" w:hAnsi="Garamond"/>
          <w:sz w:val="22"/>
          <w:szCs w:val="22"/>
        </w:rPr>
      </w:pPr>
      <w:r w:rsidRPr="00C02CF0">
        <w:rPr>
          <w:rStyle w:val="FootnoteReference"/>
          <w:rFonts w:ascii="Garamond" w:hAnsi="Garamond"/>
          <w:sz w:val="22"/>
          <w:szCs w:val="22"/>
        </w:rPr>
        <w:footnoteRef/>
      </w:r>
      <w:r w:rsidRPr="00C02CF0">
        <w:rPr>
          <w:rFonts w:ascii="Garamond" w:hAnsi="Garamond"/>
          <w:sz w:val="22"/>
          <w:szCs w:val="22"/>
        </w:rPr>
        <w:t xml:space="preserve"> Other cartels could only dream of a government that fixes prices for them, erects almost insurmountable barriers to entry, and even heavily subsidises their operations.</w:t>
      </w:r>
    </w:p>
  </w:footnote>
  <w:footnote w:id="5">
    <w:p w14:paraId="477DB820" w14:textId="31B3E766" w:rsidR="00BD7BD1" w:rsidRDefault="00BD7BD1">
      <w:pPr>
        <w:pStyle w:val="FootnoteText"/>
      </w:pPr>
      <w:r>
        <w:rPr>
          <w:rStyle w:val="FootnoteReference"/>
        </w:rPr>
        <w:footnoteRef/>
      </w:r>
      <w:r>
        <w:t xml:space="preserve"> </w:t>
      </w:r>
      <w:r w:rsidR="00942439">
        <w:t>The language of public and private is used her</w:t>
      </w:r>
      <w:r w:rsidR="00590C06">
        <w:t>e</w:t>
      </w:r>
      <w:r w:rsidR="00942439">
        <w:t xml:space="preserve"> because </w:t>
      </w:r>
      <w:r w:rsidR="00590C06">
        <w:t>it is standard, but the language reveals part of the problem</w:t>
      </w:r>
      <w:r w:rsidR="000C3CC9">
        <w:t xml:space="preserve">.  Perhaps public universities </w:t>
      </w:r>
      <w:r w:rsidR="003D3989">
        <w:t xml:space="preserve">would be better described as bureaucratic-political, and private universities as truly public because of their reliance on </w:t>
      </w:r>
      <w:r w:rsidR="001209FB">
        <w:t xml:space="preserve">appealing to a public beyond </w:t>
      </w:r>
      <w:r w:rsidR="006531BE">
        <w:t xml:space="preserve">the </w:t>
      </w:r>
      <w:r w:rsidR="006531BE">
        <w:t>bureaucr</w:t>
      </w:r>
      <w:r w:rsidR="006531BE">
        <w:t xml:space="preserve">ats and </w:t>
      </w:r>
      <w:r w:rsidR="00347670">
        <w:t>politicians</w:t>
      </w:r>
      <w:r w:rsidR="006531BE">
        <w:t xml:space="preserve"> for their survival.</w:t>
      </w:r>
    </w:p>
  </w:footnote>
  <w:footnote w:id="6">
    <w:p w14:paraId="506DC657" w14:textId="77777777" w:rsidR="00FA59F4" w:rsidRPr="00C02CF0" w:rsidRDefault="00FA59F4" w:rsidP="008064A2">
      <w:pPr>
        <w:pStyle w:val="FootnoteText"/>
        <w:rPr>
          <w:rFonts w:ascii="Garamond" w:hAnsi="Garamond"/>
          <w:sz w:val="22"/>
          <w:szCs w:val="22"/>
        </w:rPr>
      </w:pPr>
      <w:r w:rsidRPr="00C02CF0">
        <w:rPr>
          <w:rStyle w:val="FootnoteReference"/>
          <w:rFonts w:ascii="Garamond" w:hAnsi="Garamond"/>
          <w:sz w:val="22"/>
          <w:szCs w:val="22"/>
        </w:rPr>
        <w:footnoteRef/>
      </w:r>
      <w:r w:rsidRPr="00C02CF0">
        <w:rPr>
          <w:rFonts w:ascii="Garamond" w:hAnsi="Garamond"/>
          <w:sz w:val="22"/>
          <w:szCs w:val="22"/>
        </w:rPr>
        <w:t xml:space="preserve"> </w:t>
      </w:r>
      <w:proofErr w:type="spellStart"/>
      <w:r w:rsidR="008064A2" w:rsidRPr="00C02CF0">
        <w:rPr>
          <w:rFonts w:ascii="Garamond" w:hAnsi="Garamond"/>
          <w:sz w:val="22"/>
          <w:szCs w:val="22"/>
        </w:rPr>
        <w:t>Palangkaraya</w:t>
      </w:r>
      <w:proofErr w:type="spellEnd"/>
      <w:r w:rsidR="008064A2" w:rsidRPr="00C02CF0">
        <w:rPr>
          <w:rFonts w:ascii="Garamond" w:hAnsi="Garamond"/>
          <w:sz w:val="22"/>
          <w:szCs w:val="22"/>
        </w:rPr>
        <w:t>, Spurling and Webster (</w:t>
      </w:r>
      <w:r w:rsidR="008064A2" w:rsidRPr="00C02CF0">
        <w:rPr>
          <w:rFonts w:cs="Times New Roman"/>
          <w:sz w:val="22"/>
          <w:szCs w:val="22"/>
        </w:rPr>
        <w:t>‎</w:t>
      </w:r>
      <w:r w:rsidR="008064A2" w:rsidRPr="00C02CF0">
        <w:rPr>
          <w:rFonts w:ascii="Garamond" w:hAnsi="Garamond"/>
          <w:sz w:val="22"/>
          <w:szCs w:val="22"/>
        </w:rPr>
        <w:t>2016) survey the literature on firm level innovation.</w:t>
      </w:r>
    </w:p>
  </w:footnote>
  <w:footnote w:id="7">
    <w:p w14:paraId="1E5EDE42" w14:textId="39ED23D7" w:rsidR="00402139" w:rsidRPr="00C02CF0" w:rsidRDefault="00402139">
      <w:pPr>
        <w:pStyle w:val="FootnoteText"/>
        <w:rPr>
          <w:rFonts w:ascii="Garamond" w:hAnsi="Garamond"/>
          <w:sz w:val="22"/>
          <w:szCs w:val="22"/>
        </w:rPr>
      </w:pPr>
      <w:r w:rsidRPr="00C02CF0">
        <w:rPr>
          <w:rStyle w:val="FootnoteReference"/>
          <w:rFonts w:ascii="Garamond" w:hAnsi="Garamond"/>
          <w:sz w:val="22"/>
          <w:szCs w:val="22"/>
        </w:rPr>
        <w:footnoteRef/>
      </w:r>
      <w:r w:rsidRPr="00C02CF0">
        <w:rPr>
          <w:rFonts w:ascii="Garamond" w:hAnsi="Garamond"/>
          <w:sz w:val="22"/>
          <w:szCs w:val="22"/>
        </w:rPr>
        <w:t xml:space="preserve"> The literature on the economics of religion is discussed by Iannaccone (2012) based on an Economic Society of Australia conference keynote address.</w:t>
      </w:r>
    </w:p>
  </w:footnote>
  <w:footnote w:id="8">
    <w:p w14:paraId="38815DF9" w14:textId="0C343D11" w:rsidR="00043A22" w:rsidRPr="00C02CF0" w:rsidRDefault="00043A22" w:rsidP="00F018A1">
      <w:pPr>
        <w:pStyle w:val="FootnoteText"/>
        <w:rPr>
          <w:rFonts w:ascii="Garamond" w:hAnsi="Garamond"/>
          <w:sz w:val="22"/>
          <w:szCs w:val="22"/>
        </w:rPr>
      </w:pPr>
      <w:r w:rsidRPr="00C02CF0">
        <w:rPr>
          <w:rStyle w:val="FootnoteReference"/>
          <w:rFonts w:ascii="Garamond" w:hAnsi="Garamond"/>
          <w:sz w:val="22"/>
          <w:szCs w:val="22"/>
        </w:rPr>
        <w:footnoteRef/>
      </w:r>
      <w:r w:rsidRPr="00C02CF0">
        <w:rPr>
          <w:rFonts w:ascii="Garamond" w:hAnsi="Garamond"/>
          <w:sz w:val="22"/>
          <w:szCs w:val="22"/>
        </w:rPr>
        <w:t xml:space="preserve"> </w:t>
      </w:r>
      <w:r w:rsidR="00F018A1" w:rsidRPr="00C02CF0">
        <w:rPr>
          <w:rFonts w:ascii="Garamond" w:hAnsi="Garamond" w:cs="Times New Roman"/>
          <w:sz w:val="22"/>
          <w:szCs w:val="22"/>
        </w:rPr>
        <w:t>NCLS Research</w:t>
      </w:r>
      <w:r w:rsidR="00F36982" w:rsidRPr="00C02CF0">
        <w:rPr>
          <w:rFonts w:ascii="Garamond" w:hAnsi="Garamond" w:cs="Times New Roman"/>
          <w:sz w:val="22"/>
          <w:szCs w:val="22"/>
        </w:rPr>
        <w:t xml:space="preserve"> </w:t>
      </w:r>
      <w:r w:rsidR="00F018A1" w:rsidRPr="00C02CF0">
        <w:rPr>
          <w:rFonts w:ascii="Garamond" w:hAnsi="Garamond" w:cs="Times New Roman"/>
          <w:sz w:val="22"/>
          <w:szCs w:val="22"/>
        </w:rPr>
        <w:t>(2001-16).</w:t>
      </w:r>
    </w:p>
  </w:footnote>
  <w:footnote w:id="9">
    <w:p w14:paraId="55FEE4AF" w14:textId="497E5AF3" w:rsidR="00043A22" w:rsidRPr="00281739" w:rsidRDefault="00043A22">
      <w:pPr>
        <w:pStyle w:val="FootnoteText"/>
        <w:rPr>
          <w:rFonts w:ascii="Garamond" w:hAnsi="Garamond"/>
          <w:sz w:val="22"/>
          <w:szCs w:val="22"/>
        </w:rPr>
      </w:pPr>
      <w:r w:rsidRPr="00281739">
        <w:rPr>
          <w:rStyle w:val="FootnoteReference"/>
          <w:rFonts w:ascii="Garamond" w:hAnsi="Garamond"/>
          <w:sz w:val="22"/>
          <w:szCs w:val="22"/>
        </w:rPr>
        <w:footnoteRef/>
      </w:r>
      <w:r w:rsidRPr="00281739">
        <w:rPr>
          <w:rFonts w:ascii="Garamond" w:hAnsi="Garamond"/>
          <w:sz w:val="22"/>
          <w:szCs w:val="22"/>
        </w:rPr>
        <w:t xml:space="preserve"> </w:t>
      </w:r>
      <w:r w:rsidR="00455D87" w:rsidRPr="00281739">
        <w:rPr>
          <w:rFonts w:ascii="Garamond" w:hAnsi="Garamond"/>
          <w:sz w:val="22"/>
          <w:szCs w:val="22"/>
        </w:rPr>
        <w:t xml:space="preserve">Chapman (2006) discusses income contingent loans. Under the Australian income contingent loan </w:t>
      </w:r>
      <w:proofErr w:type="gramStart"/>
      <w:r w:rsidR="00455D87" w:rsidRPr="00281739">
        <w:rPr>
          <w:rFonts w:ascii="Garamond" w:hAnsi="Garamond"/>
          <w:sz w:val="22"/>
          <w:szCs w:val="22"/>
        </w:rPr>
        <w:t>system</w:t>
      </w:r>
      <w:proofErr w:type="gramEnd"/>
      <w:r w:rsidR="00455D87" w:rsidRPr="00281739">
        <w:rPr>
          <w:rFonts w:ascii="Garamond" w:hAnsi="Garamond"/>
          <w:sz w:val="22"/>
          <w:szCs w:val="22"/>
        </w:rPr>
        <w:t xml:space="preserve"> the university gets paid up front for the enrolment, while the student repays the loan to the government over a long period if their income is above a threshold</w:t>
      </w:r>
      <w:r w:rsidR="005F60DF">
        <w:rPr>
          <w:rFonts w:ascii="Garamond" w:hAnsi="Garamond"/>
          <w:sz w:val="22"/>
          <w:szCs w:val="22"/>
        </w:rPr>
        <w:t>.</w:t>
      </w:r>
    </w:p>
  </w:footnote>
  <w:footnote w:id="10">
    <w:p w14:paraId="16B206DF" w14:textId="77777777" w:rsidR="00455D87" w:rsidRPr="00281739" w:rsidRDefault="00455D87">
      <w:pPr>
        <w:pStyle w:val="FootnoteText"/>
        <w:rPr>
          <w:rFonts w:ascii="Garamond" w:hAnsi="Garamond"/>
          <w:sz w:val="22"/>
          <w:szCs w:val="22"/>
        </w:rPr>
      </w:pPr>
      <w:r w:rsidRPr="00281739">
        <w:rPr>
          <w:rStyle w:val="FootnoteReference"/>
          <w:rFonts w:ascii="Garamond" w:hAnsi="Garamond"/>
          <w:sz w:val="22"/>
          <w:szCs w:val="22"/>
        </w:rPr>
        <w:footnoteRef/>
      </w:r>
      <w:r w:rsidRPr="00281739">
        <w:rPr>
          <w:rFonts w:ascii="Garamond" w:hAnsi="Garamond"/>
          <w:sz w:val="22"/>
          <w:szCs w:val="22"/>
        </w:rPr>
        <w:t xml:space="preserve"> </w:t>
      </w:r>
      <w:r w:rsidR="008064A2" w:rsidRPr="00281739">
        <w:rPr>
          <w:rFonts w:ascii="Garamond" w:hAnsi="Garamond"/>
          <w:sz w:val="22"/>
          <w:szCs w:val="22"/>
        </w:rPr>
        <w:t xml:space="preserve">QUILT </w:t>
      </w:r>
      <w:r w:rsidR="009B7081" w:rsidRPr="00281739">
        <w:rPr>
          <w:rFonts w:ascii="Garamond" w:hAnsi="Garamond"/>
          <w:sz w:val="22"/>
          <w:szCs w:val="22"/>
        </w:rPr>
        <w:t>Reports are available at https://www.qilt.edu.au/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FB28CF"/>
    <w:multiLevelType w:val="hybridMultilevel"/>
    <w:tmpl w:val="483CAA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0C67898"/>
    <w:multiLevelType w:val="hybridMultilevel"/>
    <w:tmpl w:val="CD4688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22A"/>
    <w:rsid w:val="000021AE"/>
    <w:rsid w:val="000305B5"/>
    <w:rsid w:val="00043A22"/>
    <w:rsid w:val="000713AA"/>
    <w:rsid w:val="00075CF8"/>
    <w:rsid w:val="00090C3C"/>
    <w:rsid w:val="000A1CAF"/>
    <w:rsid w:val="000C0906"/>
    <w:rsid w:val="000C3CC9"/>
    <w:rsid w:val="000C3D2B"/>
    <w:rsid w:val="000C5DED"/>
    <w:rsid w:val="000F739A"/>
    <w:rsid w:val="000F7827"/>
    <w:rsid w:val="001209FB"/>
    <w:rsid w:val="00132ABE"/>
    <w:rsid w:val="001510D2"/>
    <w:rsid w:val="00181006"/>
    <w:rsid w:val="00181585"/>
    <w:rsid w:val="001C4350"/>
    <w:rsid w:val="001C5F4C"/>
    <w:rsid w:val="001E222A"/>
    <w:rsid w:val="001E34B3"/>
    <w:rsid w:val="001E41B7"/>
    <w:rsid w:val="00281739"/>
    <w:rsid w:val="002E209F"/>
    <w:rsid w:val="002E2C85"/>
    <w:rsid w:val="00335DFA"/>
    <w:rsid w:val="003426C6"/>
    <w:rsid w:val="00346FEC"/>
    <w:rsid w:val="00347670"/>
    <w:rsid w:val="00353BA7"/>
    <w:rsid w:val="00366861"/>
    <w:rsid w:val="00370CC7"/>
    <w:rsid w:val="003942B4"/>
    <w:rsid w:val="003B1B50"/>
    <w:rsid w:val="003C58F5"/>
    <w:rsid w:val="003D3989"/>
    <w:rsid w:val="003D5F12"/>
    <w:rsid w:val="003E4364"/>
    <w:rsid w:val="003E77F2"/>
    <w:rsid w:val="003F0DF8"/>
    <w:rsid w:val="00400A8A"/>
    <w:rsid w:val="00402139"/>
    <w:rsid w:val="00420360"/>
    <w:rsid w:val="00455D87"/>
    <w:rsid w:val="004721D5"/>
    <w:rsid w:val="004812F1"/>
    <w:rsid w:val="004B7D8F"/>
    <w:rsid w:val="004C2DE4"/>
    <w:rsid w:val="004C321D"/>
    <w:rsid w:val="004E1DB5"/>
    <w:rsid w:val="005143E3"/>
    <w:rsid w:val="00560F44"/>
    <w:rsid w:val="00562A42"/>
    <w:rsid w:val="0058288B"/>
    <w:rsid w:val="00590C06"/>
    <w:rsid w:val="005D24D3"/>
    <w:rsid w:val="005D3AA2"/>
    <w:rsid w:val="005D755A"/>
    <w:rsid w:val="005E56D2"/>
    <w:rsid w:val="005F60DF"/>
    <w:rsid w:val="00605FBF"/>
    <w:rsid w:val="00624127"/>
    <w:rsid w:val="006531BE"/>
    <w:rsid w:val="0065689A"/>
    <w:rsid w:val="00665EB5"/>
    <w:rsid w:val="006754E0"/>
    <w:rsid w:val="00684DE4"/>
    <w:rsid w:val="006A3BCC"/>
    <w:rsid w:val="006B00E4"/>
    <w:rsid w:val="006B09A4"/>
    <w:rsid w:val="006B3924"/>
    <w:rsid w:val="006B7EF3"/>
    <w:rsid w:val="006D3EA7"/>
    <w:rsid w:val="0070772F"/>
    <w:rsid w:val="0072109C"/>
    <w:rsid w:val="00734622"/>
    <w:rsid w:val="007626F7"/>
    <w:rsid w:val="0078680E"/>
    <w:rsid w:val="007A6388"/>
    <w:rsid w:val="007A6695"/>
    <w:rsid w:val="007B1573"/>
    <w:rsid w:val="007F347E"/>
    <w:rsid w:val="007F75C2"/>
    <w:rsid w:val="008007D5"/>
    <w:rsid w:val="0080448D"/>
    <w:rsid w:val="008064A2"/>
    <w:rsid w:val="008438D9"/>
    <w:rsid w:val="00855427"/>
    <w:rsid w:val="008619FE"/>
    <w:rsid w:val="008624C2"/>
    <w:rsid w:val="008658A9"/>
    <w:rsid w:val="008800AB"/>
    <w:rsid w:val="00891385"/>
    <w:rsid w:val="008C4862"/>
    <w:rsid w:val="008C7796"/>
    <w:rsid w:val="008D75F7"/>
    <w:rsid w:val="008E19A2"/>
    <w:rsid w:val="0090283A"/>
    <w:rsid w:val="009034D0"/>
    <w:rsid w:val="00930F53"/>
    <w:rsid w:val="009338F3"/>
    <w:rsid w:val="00934728"/>
    <w:rsid w:val="00942439"/>
    <w:rsid w:val="00946525"/>
    <w:rsid w:val="00952352"/>
    <w:rsid w:val="00963269"/>
    <w:rsid w:val="0096563A"/>
    <w:rsid w:val="009838FC"/>
    <w:rsid w:val="009A0BE2"/>
    <w:rsid w:val="009B7081"/>
    <w:rsid w:val="009C0CC6"/>
    <w:rsid w:val="009E4D54"/>
    <w:rsid w:val="00A068BE"/>
    <w:rsid w:val="00A06FCF"/>
    <w:rsid w:val="00A10D3C"/>
    <w:rsid w:val="00A26028"/>
    <w:rsid w:val="00A30292"/>
    <w:rsid w:val="00A353AC"/>
    <w:rsid w:val="00A3689D"/>
    <w:rsid w:val="00A823CD"/>
    <w:rsid w:val="00AA12AE"/>
    <w:rsid w:val="00AA5E65"/>
    <w:rsid w:val="00AB2247"/>
    <w:rsid w:val="00B07527"/>
    <w:rsid w:val="00B21428"/>
    <w:rsid w:val="00B3406E"/>
    <w:rsid w:val="00B40143"/>
    <w:rsid w:val="00B632E1"/>
    <w:rsid w:val="00B7701C"/>
    <w:rsid w:val="00BD7BD1"/>
    <w:rsid w:val="00BE2326"/>
    <w:rsid w:val="00BF35DA"/>
    <w:rsid w:val="00C02CF0"/>
    <w:rsid w:val="00C62BE6"/>
    <w:rsid w:val="00C65CF4"/>
    <w:rsid w:val="00C72E7D"/>
    <w:rsid w:val="00CD0AF1"/>
    <w:rsid w:val="00CD534E"/>
    <w:rsid w:val="00D2089F"/>
    <w:rsid w:val="00D21F5A"/>
    <w:rsid w:val="00D25B02"/>
    <w:rsid w:val="00D830C5"/>
    <w:rsid w:val="00D84379"/>
    <w:rsid w:val="00DA5E5B"/>
    <w:rsid w:val="00DA6FE3"/>
    <w:rsid w:val="00DF780E"/>
    <w:rsid w:val="00E266CC"/>
    <w:rsid w:val="00E37CBF"/>
    <w:rsid w:val="00E4015E"/>
    <w:rsid w:val="00E4363B"/>
    <w:rsid w:val="00E75228"/>
    <w:rsid w:val="00E808DF"/>
    <w:rsid w:val="00EA5FCB"/>
    <w:rsid w:val="00EE654F"/>
    <w:rsid w:val="00F018A1"/>
    <w:rsid w:val="00F33D66"/>
    <w:rsid w:val="00F36982"/>
    <w:rsid w:val="00F36AC9"/>
    <w:rsid w:val="00F54DE8"/>
    <w:rsid w:val="00F85AEA"/>
    <w:rsid w:val="00FA59F4"/>
    <w:rsid w:val="00FA7818"/>
    <w:rsid w:val="00FC3A27"/>
    <w:rsid w:val="00FD1035"/>
    <w:rsid w:val="00FD333A"/>
    <w:rsid w:val="00FE23F4"/>
    <w:rsid w:val="00FF0E89"/>
    <w:rsid w:val="00FF2F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1752A"/>
  <w15:docId w15:val="{DA4BEA95-AA03-4589-B042-B0B02FBFC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109C"/>
    <w:pPr>
      <w:spacing w:after="120" w:line="360" w:lineRule="auto"/>
    </w:pPr>
    <w:rPr>
      <w:rFonts w:ascii="Times New Roman" w:hAnsi="Times New Roman"/>
      <w:sz w:val="24"/>
    </w:rPr>
  </w:style>
  <w:style w:type="paragraph" w:styleId="Heading1">
    <w:name w:val="heading 1"/>
    <w:basedOn w:val="Normal"/>
    <w:link w:val="Heading1Char"/>
    <w:uiPriority w:val="9"/>
    <w:qFormat/>
    <w:rsid w:val="00C72E7D"/>
    <w:pPr>
      <w:spacing w:before="100" w:beforeAutospacing="1" w:after="100" w:afterAutospacing="1" w:line="240" w:lineRule="auto"/>
      <w:outlineLvl w:val="0"/>
    </w:pPr>
    <w:rPr>
      <w:rFonts w:eastAsia="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09F"/>
    <w:pPr>
      <w:ind w:left="720"/>
      <w:contextualSpacing/>
    </w:pPr>
  </w:style>
  <w:style w:type="character" w:styleId="Hyperlink">
    <w:name w:val="Hyperlink"/>
    <w:basedOn w:val="DefaultParagraphFont"/>
    <w:uiPriority w:val="99"/>
    <w:unhideWhenUsed/>
    <w:rsid w:val="00E4363B"/>
    <w:rPr>
      <w:color w:val="0563C1" w:themeColor="hyperlink"/>
      <w:u w:val="single"/>
    </w:rPr>
  </w:style>
  <w:style w:type="paragraph" w:styleId="Header">
    <w:name w:val="header"/>
    <w:basedOn w:val="Normal"/>
    <w:link w:val="HeaderChar"/>
    <w:uiPriority w:val="99"/>
    <w:unhideWhenUsed/>
    <w:rsid w:val="005E56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56D2"/>
    <w:rPr>
      <w:rFonts w:ascii="Times New Roman" w:hAnsi="Times New Roman"/>
      <w:sz w:val="24"/>
    </w:rPr>
  </w:style>
  <w:style w:type="paragraph" w:styleId="Footer">
    <w:name w:val="footer"/>
    <w:basedOn w:val="Normal"/>
    <w:link w:val="FooterChar"/>
    <w:uiPriority w:val="99"/>
    <w:unhideWhenUsed/>
    <w:rsid w:val="005E56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56D2"/>
    <w:rPr>
      <w:rFonts w:ascii="Times New Roman" w:hAnsi="Times New Roman"/>
      <w:sz w:val="24"/>
    </w:rPr>
  </w:style>
  <w:style w:type="character" w:styleId="Emphasis">
    <w:name w:val="Emphasis"/>
    <w:basedOn w:val="DefaultParagraphFont"/>
    <w:uiPriority w:val="20"/>
    <w:qFormat/>
    <w:rsid w:val="00B3406E"/>
    <w:rPr>
      <w:i/>
      <w:iCs/>
    </w:rPr>
  </w:style>
  <w:style w:type="paragraph" w:styleId="FootnoteText">
    <w:name w:val="footnote text"/>
    <w:basedOn w:val="Normal"/>
    <w:link w:val="FootnoteTextChar"/>
    <w:uiPriority w:val="99"/>
    <w:semiHidden/>
    <w:unhideWhenUsed/>
    <w:rsid w:val="00FA78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7818"/>
    <w:rPr>
      <w:rFonts w:ascii="Times New Roman" w:hAnsi="Times New Roman"/>
      <w:sz w:val="20"/>
      <w:szCs w:val="20"/>
    </w:rPr>
  </w:style>
  <w:style w:type="character" w:styleId="FootnoteReference">
    <w:name w:val="footnote reference"/>
    <w:basedOn w:val="DefaultParagraphFont"/>
    <w:uiPriority w:val="99"/>
    <w:semiHidden/>
    <w:unhideWhenUsed/>
    <w:rsid w:val="00FA7818"/>
    <w:rPr>
      <w:vertAlign w:val="superscript"/>
    </w:rPr>
  </w:style>
  <w:style w:type="character" w:customStyle="1" w:styleId="Heading1Char">
    <w:name w:val="Heading 1 Char"/>
    <w:basedOn w:val="DefaultParagraphFont"/>
    <w:link w:val="Heading1"/>
    <w:uiPriority w:val="9"/>
    <w:rsid w:val="00C72E7D"/>
    <w:rPr>
      <w:rFonts w:ascii="Times New Roman" w:eastAsia="Times New Roman" w:hAnsi="Times New Roman" w:cs="Times New Roman"/>
      <w:b/>
      <w:bCs/>
      <w:kern w:val="36"/>
      <w:sz w:val="48"/>
      <w:szCs w:val="48"/>
      <w:lang w:eastAsia="en-AU"/>
    </w:rPr>
  </w:style>
  <w:style w:type="paragraph" w:styleId="Revision">
    <w:name w:val="Revision"/>
    <w:hidden/>
    <w:uiPriority w:val="99"/>
    <w:semiHidden/>
    <w:rsid w:val="00F85AEA"/>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F85A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AEA"/>
    <w:rPr>
      <w:rFonts w:ascii="Segoe UI" w:hAnsi="Segoe UI" w:cs="Segoe UI"/>
      <w:sz w:val="18"/>
      <w:szCs w:val="18"/>
    </w:rPr>
  </w:style>
  <w:style w:type="character" w:styleId="CommentReference">
    <w:name w:val="annotation reference"/>
    <w:basedOn w:val="DefaultParagraphFont"/>
    <w:uiPriority w:val="99"/>
    <w:semiHidden/>
    <w:unhideWhenUsed/>
    <w:rsid w:val="008E19A2"/>
    <w:rPr>
      <w:sz w:val="16"/>
      <w:szCs w:val="16"/>
    </w:rPr>
  </w:style>
  <w:style w:type="paragraph" w:styleId="CommentText">
    <w:name w:val="annotation text"/>
    <w:basedOn w:val="Normal"/>
    <w:link w:val="CommentTextChar"/>
    <w:uiPriority w:val="99"/>
    <w:semiHidden/>
    <w:unhideWhenUsed/>
    <w:rsid w:val="008E19A2"/>
    <w:pPr>
      <w:spacing w:line="240" w:lineRule="auto"/>
    </w:pPr>
    <w:rPr>
      <w:sz w:val="20"/>
      <w:szCs w:val="20"/>
    </w:rPr>
  </w:style>
  <w:style w:type="character" w:customStyle="1" w:styleId="CommentTextChar">
    <w:name w:val="Comment Text Char"/>
    <w:basedOn w:val="DefaultParagraphFont"/>
    <w:link w:val="CommentText"/>
    <w:uiPriority w:val="99"/>
    <w:semiHidden/>
    <w:rsid w:val="008E19A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E19A2"/>
    <w:rPr>
      <w:b/>
      <w:bCs/>
    </w:rPr>
  </w:style>
  <w:style w:type="character" w:customStyle="1" w:styleId="CommentSubjectChar">
    <w:name w:val="Comment Subject Char"/>
    <w:basedOn w:val="CommentTextChar"/>
    <w:link w:val="CommentSubject"/>
    <w:uiPriority w:val="99"/>
    <w:semiHidden/>
    <w:rsid w:val="008E19A2"/>
    <w:rPr>
      <w:rFonts w:ascii="Times New Roman" w:hAnsi="Times New Roman"/>
      <w:b/>
      <w:bCs/>
      <w:sz w:val="20"/>
      <w:szCs w:val="20"/>
    </w:rPr>
  </w:style>
  <w:style w:type="character" w:styleId="PlaceholderText">
    <w:name w:val="Placeholder Text"/>
    <w:basedOn w:val="DefaultParagraphFont"/>
    <w:uiPriority w:val="99"/>
    <w:semiHidden/>
    <w:rsid w:val="0095235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6451">
      <w:bodyDiv w:val="1"/>
      <w:marLeft w:val="0"/>
      <w:marRight w:val="0"/>
      <w:marTop w:val="0"/>
      <w:marBottom w:val="0"/>
      <w:divBdr>
        <w:top w:val="none" w:sz="0" w:space="0" w:color="auto"/>
        <w:left w:val="none" w:sz="0" w:space="0" w:color="auto"/>
        <w:bottom w:val="none" w:sz="0" w:space="0" w:color="auto"/>
        <w:right w:val="none" w:sz="0" w:space="0" w:color="auto"/>
      </w:divBdr>
    </w:div>
    <w:div w:id="115756608">
      <w:bodyDiv w:val="1"/>
      <w:marLeft w:val="0"/>
      <w:marRight w:val="0"/>
      <w:marTop w:val="0"/>
      <w:marBottom w:val="0"/>
      <w:divBdr>
        <w:top w:val="none" w:sz="0" w:space="0" w:color="auto"/>
        <w:left w:val="none" w:sz="0" w:space="0" w:color="auto"/>
        <w:bottom w:val="none" w:sz="0" w:space="0" w:color="auto"/>
        <w:right w:val="none" w:sz="0" w:space="0" w:color="auto"/>
      </w:divBdr>
    </w:div>
    <w:div w:id="1582642115">
      <w:bodyDiv w:val="1"/>
      <w:marLeft w:val="0"/>
      <w:marRight w:val="0"/>
      <w:marTop w:val="0"/>
      <w:marBottom w:val="0"/>
      <w:divBdr>
        <w:top w:val="none" w:sz="0" w:space="0" w:color="auto"/>
        <w:left w:val="none" w:sz="0" w:space="0" w:color="auto"/>
        <w:bottom w:val="none" w:sz="0" w:space="0" w:color="auto"/>
        <w:right w:val="none" w:sz="0" w:space="0" w:color="auto"/>
      </w:divBdr>
    </w:div>
    <w:div w:id="205392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oslington@ac.edu.au" TargetMode="External"/><Relationship Id="rId13" Type="http://schemas.openxmlformats.org/officeDocument/2006/relationships/hyperlink" Target="https://home.kpmg.com/au/en/home/insights/2018/08/reimagining-tertiary-education.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ola.org.au/wp/PDF/SAF10/Webster.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bc.net.au/religion/articles/2016/08/26/4527401.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heconversation.com/dose-of-competition-can-lift-higher-education-productivity-and-quality-32019" TargetMode="External"/><Relationship Id="rId4" Type="http://schemas.openxmlformats.org/officeDocument/2006/relationships/settings" Target="settings.xml"/><Relationship Id="rId9" Type="http://schemas.openxmlformats.org/officeDocument/2006/relationships/hyperlink" Target="https://www.ncls.org.au/" TargetMode="External"/><Relationship Id="rId14" Type="http://schemas.openxmlformats.org/officeDocument/2006/relationships/hyperlink" Target="https://campusmorningmail.com.au/news/beyond-the-demand-driven-obsession-and-policy-impas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98200-32EA-482F-9400-DCBCAE644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3396</Words>
  <Characters>19359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Oslington</dc:creator>
  <cp:lastModifiedBy>Paul Oslington</cp:lastModifiedBy>
  <cp:revision>30</cp:revision>
  <dcterms:created xsi:type="dcterms:W3CDTF">2018-09-11T22:59:00Z</dcterms:created>
  <dcterms:modified xsi:type="dcterms:W3CDTF">2018-10-13T10:20:00Z</dcterms:modified>
</cp:coreProperties>
</file>